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D0" w:rsidRDefault="003E34D0" w:rsidP="003E34D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</w:t>
      </w:r>
    </w:p>
    <w:p w:rsidR="003E34D0" w:rsidRDefault="003E34D0" w:rsidP="003E34D0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государственной программы Архангельской области </w:t>
      </w:r>
      <w:r>
        <w:rPr>
          <w:b/>
        </w:rPr>
        <w:br/>
        <w:t xml:space="preserve">«Комплексное развитие сельских территорий </w:t>
      </w:r>
      <w:r>
        <w:rPr>
          <w:b/>
        </w:rPr>
        <w:br/>
        <w:t>Архангельской области»</w:t>
      </w:r>
    </w:p>
    <w:p w:rsidR="003E34D0" w:rsidRDefault="003E34D0" w:rsidP="003E34D0">
      <w:pPr>
        <w:keepNext/>
        <w:ind w:firstLine="720"/>
        <w:jc w:val="both"/>
      </w:pPr>
    </w:p>
    <w:p w:rsidR="003E34D0" w:rsidRDefault="003E34D0" w:rsidP="003E34D0">
      <w:pPr>
        <w:keepNext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356"/>
        <w:gridCol w:w="6980"/>
      </w:tblGrid>
      <w:tr w:rsidR="003E34D0" w:rsidTr="003E34D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keepNext/>
              <w:jc w:val="both"/>
            </w:pPr>
            <w:r>
              <w:t>Наименование государственной программы</w:t>
            </w:r>
          </w:p>
          <w:p w:rsidR="003E34D0" w:rsidRDefault="003E34D0">
            <w:pPr>
              <w:keepNext/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keepNext/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keepNext/>
              <w:autoSpaceDE w:val="0"/>
              <w:autoSpaceDN w:val="0"/>
              <w:adjustRightInd w:val="0"/>
            </w:pPr>
            <w:r>
              <w:t>государственная программа Архангельской области «Комплексное развитие сельских территорий Архангельской области» (далее – государственная программа)</w:t>
            </w:r>
          </w:p>
          <w:p w:rsidR="003E34D0" w:rsidRDefault="003E34D0">
            <w:pPr>
              <w:keepNext/>
            </w:pPr>
          </w:p>
        </w:tc>
      </w:tr>
      <w:tr w:rsidR="003E34D0" w:rsidTr="003E34D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jc w:val="both"/>
            </w:pPr>
            <w:r>
              <w:t xml:space="preserve">Ответственный исполнитель государственной программы </w:t>
            </w:r>
          </w:p>
          <w:p w:rsidR="003E34D0" w:rsidRDefault="003E34D0">
            <w:pPr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r>
              <w:t xml:space="preserve">министерство агропромышленного комплекса </w:t>
            </w:r>
          </w:p>
          <w:p w:rsidR="003E34D0" w:rsidRDefault="003E34D0">
            <w:proofErr w:type="gramStart"/>
            <w:r>
              <w:t xml:space="preserve">и торговли Архангельской области (далее – министерство агропромышленного комплекса </w:t>
            </w:r>
            <w:proofErr w:type="gramEnd"/>
          </w:p>
          <w:p w:rsidR="003E34D0" w:rsidRDefault="003E34D0">
            <w:r>
              <w:t>и торговли)</w:t>
            </w:r>
          </w:p>
          <w:p w:rsidR="003E34D0" w:rsidRDefault="003E34D0"/>
        </w:tc>
      </w:tr>
      <w:tr w:rsidR="003E34D0" w:rsidTr="003E34D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jc w:val="both"/>
            </w:pPr>
            <w:r>
              <w:t>Соисполнители</w:t>
            </w:r>
          </w:p>
          <w:p w:rsidR="003E34D0" w:rsidRDefault="003E34D0">
            <w:pPr>
              <w:jc w:val="both"/>
            </w:pPr>
            <w:r>
              <w:t xml:space="preserve">государственной программы </w:t>
            </w:r>
          </w:p>
          <w:p w:rsidR="003E34D0" w:rsidRDefault="003E34D0">
            <w:pPr>
              <w:jc w:val="both"/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министерство топливно-энергетического комплекса </w:t>
            </w:r>
          </w:p>
          <w:p w:rsidR="003E34D0" w:rsidRDefault="003E34D0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жилищно-коммунального хозяйства Архангельской области (далее – министерство ТЭК и ЖКХ);</w:t>
            </w:r>
          </w:p>
          <w:p w:rsidR="003E34D0" w:rsidRDefault="003E34D0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строительства и архитектуры Архангельской области (далее – министерство строительства и архитектуры);</w:t>
            </w:r>
          </w:p>
          <w:p w:rsidR="003E34D0" w:rsidRDefault="003E34D0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Губернатора Архангельской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3E34D0" w:rsidRDefault="003E34D0">
            <w:pPr>
              <w:pStyle w:val="HTML"/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Правительства Архангельской области;</w:t>
            </w:r>
          </w:p>
          <w:p w:rsidR="003E34D0" w:rsidRDefault="003E34D0">
            <w:pPr>
              <w:autoSpaceDE w:val="0"/>
              <w:autoSpaceDN w:val="0"/>
              <w:adjustRightInd w:val="0"/>
              <w:outlineLvl w:val="0"/>
            </w:pPr>
            <w:r>
              <w:t>министерство транспорта Архангельской области (далее – министерство транспорта)</w:t>
            </w:r>
          </w:p>
          <w:p w:rsidR="003E34D0" w:rsidRDefault="003E34D0"/>
        </w:tc>
      </w:tr>
      <w:tr w:rsidR="003E34D0" w:rsidTr="003E34D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both"/>
            </w:pPr>
            <w:r>
              <w:t xml:space="preserve">Участники государственной программы 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spacing w:after="60"/>
            </w:pPr>
            <w:r>
              <w:t>государственное автономное учреждение Архангельской области «</w:t>
            </w:r>
            <w:proofErr w:type="spellStart"/>
            <w:r>
              <w:t>Инвестсельстрой</w:t>
            </w:r>
            <w:proofErr w:type="spellEnd"/>
            <w:r>
              <w:t>»;</w:t>
            </w:r>
          </w:p>
          <w:p w:rsidR="003E34D0" w:rsidRDefault="003E34D0">
            <w:pPr>
              <w:spacing w:after="60"/>
            </w:pPr>
            <w:r>
              <w:t>органы местного самоуправления муниципальных образований Архангельской области (далее – органы местного самоуправления);</w:t>
            </w:r>
          </w:p>
          <w:p w:rsidR="003E34D0" w:rsidRDefault="003E34D0">
            <w:pPr>
              <w:spacing w:after="60"/>
            </w:pPr>
          </w:p>
          <w:p w:rsidR="003E34D0" w:rsidRDefault="003E34D0">
            <w:pPr>
              <w:spacing w:after="60"/>
            </w:pPr>
            <w:r>
              <w:t xml:space="preserve">сельскохозяйственные товаропроизводители </w:t>
            </w:r>
            <w:r>
              <w:br/>
              <w:t>в Архангельской области;</w:t>
            </w:r>
          </w:p>
          <w:p w:rsidR="003E34D0" w:rsidRDefault="003E34D0">
            <w:r>
              <w:t>граждане, проживающие и работающие на сельских территориях Архангельской области</w:t>
            </w:r>
          </w:p>
          <w:p w:rsidR="003E34D0" w:rsidRDefault="003E34D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4D0" w:rsidTr="003E34D0">
        <w:trPr>
          <w:trHeight w:val="697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both"/>
            </w:pPr>
            <w:r>
              <w:t xml:space="preserve">Подпрограммы </w:t>
            </w:r>
          </w:p>
          <w:p w:rsidR="003E34D0" w:rsidRDefault="003E34D0">
            <w:pPr>
              <w:jc w:val="both"/>
            </w:pPr>
            <w:r>
              <w:t>государственной программы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autoSpaceDE w:val="0"/>
              <w:autoSpaceDN w:val="0"/>
              <w:adjustRightInd w:val="0"/>
              <w:spacing w:after="60"/>
              <w:ind w:right="-113"/>
            </w:pPr>
            <w:r>
              <w:t>подпрограмма № 1 «Создание условий для обеспечения доступным и комфортным жильем сельского населения»;</w:t>
            </w:r>
          </w:p>
          <w:p w:rsidR="003E34D0" w:rsidRDefault="003E34D0">
            <w:pPr>
              <w:autoSpaceDE w:val="0"/>
              <w:autoSpaceDN w:val="0"/>
              <w:adjustRightInd w:val="0"/>
              <w:spacing w:after="60"/>
            </w:pPr>
            <w:r>
              <w:t xml:space="preserve">подпрограмма № 2 «Развитие рынка труда (кадрового </w:t>
            </w:r>
            <w:r>
              <w:lastRenderedPageBreak/>
              <w:t>потенциала) на сельских территориях»;</w:t>
            </w:r>
          </w:p>
          <w:p w:rsidR="003E34D0" w:rsidRDefault="003E34D0">
            <w:pPr>
              <w:autoSpaceDE w:val="0"/>
              <w:autoSpaceDN w:val="0"/>
              <w:adjustRightInd w:val="0"/>
            </w:pPr>
            <w:r>
              <w:t>подпрограмма № 3 «Создание и развитие инфраструктуры на сельских территориях»</w:t>
            </w:r>
          </w:p>
          <w:p w:rsidR="003E34D0" w:rsidRDefault="003E34D0">
            <w:pPr>
              <w:rPr>
                <w:sz w:val="24"/>
                <w:szCs w:val="24"/>
              </w:rPr>
            </w:pPr>
          </w:p>
        </w:tc>
      </w:tr>
      <w:tr w:rsidR="003E34D0" w:rsidTr="003E34D0">
        <w:trPr>
          <w:trHeight w:val="1066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r>
              <w:lastRenderedPageBreak/>
              <w:t xml:space="preserve">Цель </w:t>
            </w:r>
            <w:proofErr w:type="gramStart"/>
            <w:r>
              <w:t>государственной</w:t>
            </w:r>
            <w:proofErr w:type="gramEnd"/>
          </w:p>
          <w:p w:rsidR="003E34D0" w:rsidRDefault="003E34D0">
            <w:r>
              <w:t>программы</w:t>
            </w:r>
          </w:p>
          <w:p w:rsidR="003E34D0" w:rsidRDefault="003E34D0"/>
          <w:p w:rsidR="003E34D0" w:rsidRDefault="003E34D0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autoSpaceDE w:val="0"/>
              <w:autoSpaceDN w:val="0"/>
              <w:adjustRightInd w:val="0"/>
              <w:ind w:firstLine="6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обеспечение социально-экономического развития сельских территорий Архангельской области.</w:t>
            </w:r>
          </w:p>
          <w:p w:rsidR="003E34D0" w:rsidRDefault="003E34D0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>
              <w:rPr>
                <w:rFonts w:ascii="TimesNewRomanPSMT Cyr" w:hAnsi="TimesNewRomanPSMT Cyr" w:cs="TimesNewRomanPSMT Cyr"/>
              </w:rPr>
              <w:t>Перечень целевых показателей приведен в приложении № 1 к настоящей государственной программе</w:t>
            </w:r>
          </w:p>
        </w:tc>
      </w:tr>
      <w:tr w:rsidR="003E34D0" w:rsidTr="003E34D0">
        <w:trPr>
          <w:trHeight w:val="1302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r>
              <w:t>Задачи государственной</w:t>
            </w:r>
          </w:p>
          <w:p w:rsidR="003E34D0" w:rsidRDefault="003E34D0">
            <w:r>
              <w:t xml:space="preserve">программы </w:t>
            </w:r>
          </w:p>
          <w:p w:rsidR="003E34D0" w:rsidRDefault="003E34D0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autoSpaceDE w:val="0"/>
              <w:autoSpaceDN w:val="0"/>
              <w:adjustRightInd w:val="0"/>
              <w:spacing w:after="6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задача № 1 – обеспечение сельского населения доступным и комфортным жильем, отвечающим современным требованиям;</w:t>
            </w:r>
          </w:p>
          <w:p w:rsidR="003E34D0" w:rsidRDefault="003E34D0">
            <w:pPr>
              <w:autoSpaceDE w:val="0"/>
              <w:autoSpaceDN w:val="0"/>
              <w:adjustRightInd w:val="0"/>
              <w:spacing w:after="6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задача № 2 – повышение уровня занятости сельского населения;</w:t>
            </w:r>
          </w:p>
          <w:p w:rsidR="003E34D0" w:rsidRDefault="003E34D0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задача № 3 – повышение качества и комфорта сельской среды Архангельской области и создание условий для ее дальнейшего развития</w:t>
            </w:r>
          </w:p>
          <w:p w:rsidR="003E34D0" w:rsidRDefault="003E34D0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</w:p>
        </w:tc>
      </w:tr>
      <w:tr w:rsidR="003E34D0" w:rsidTr="003E34D0">
        <w:trPr>
          <w:trHeight w:val="828"/>
        </w:trPr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r>
              <w:t>Сроки и этапы реализации государственной программы</w:t>
            </w:r>
          </w:p>
          <w:p w:rsidR="003E34D0" w:rsidRDefault="003E34D0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</w:rPr>
            </w:pPr>
            <w:r>
              <w:rPr>
                <w:rFonts w:ascii="TimesNewRomanPSMT Cyr" w:hAnsi="TimesNewRomanPSMT Cyr" w:cs="TimesNewRomanPSMT Cyr"/>
              </w:rPr>
              <w:t>2020 – 2025 годы. Государственная программа реализуется в один этап</w:t>
            </w:r>
          </w:p>
          <w:p w:rsidR="003E34D0" w:rsidRDefault="003E34D0">
            <w:pPr>
              <w:autoSpaceDE w:val="0"/>
              <w:autoSpaceDN w:val="0"/>
              <w:adjustRightInd w:val="0"/>
              <w:rPr>
                <w:rFonts w:ascii="TimesNewRomanPSMT Cyr" w:hAnsi="TimesNewRomanPSMT Cyr" w:cs="TimesNewRomanPSMT Cyr"/>
                <w:sz w:val="18"/>
                <w:szCs w:val="18"/>
              </w:rPr>
            </w:pPr>
            <w:r>
              <w:rPr>
                <w:rFonts w:ascii="TimesNewRomanPSMT Cyr" w:hAnsi="TimesNewRomanPSMT Cyr" w:cs="TimesNewRomanPSMT Cyr"/>
              </w:rPr>
              <w:br/>
            </w:r>
          </w:p>
        </w:tc>
      </w:tr>
      <w:tr w:rsidR="003E34D0" w:rsidTr="003E34D0"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r>
              <w:t xml:space="preserve">Объемы </w:t>
            </w:r>
          </w:p>
          <w:p w:rsidR="003E34D0" w:rsidRDefault="003E34D0">
            <w:r>
              <w:t>и источники финансирования</w:t>
            </w:r>
          </w:p>
          <w:p w:rsidR="003E34D0" w:rsidRDefault="003E34D0">
            <w:pPr>
              <w:jc w:val="both"/>
            </w:pPr>
            <w:r>
              <w:t xml:space="preserve">государственной программы </w:t>
            </w:r>
          </w:p>
          <w:p w:rsidR="003E34D0" w:rsidRDefault="003E34D0"/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E34D0" w:rsidRDefault="003E34D0">
            <w:pPr>
              <w:jc w:val="center"/>
            </w:pPr>
            <w:r>
              <w:t>–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nil"/>
            </w:tcBorders>
          </w:tcPr>
          <w:p w:rsidR="003E34D0" w:rsidRDefault="003E34D0">
            <w:pPr>
              <w:pStyle w:val="ConsPlusNormal"/>
              <w:widowControl/>
              <w:spacing w:after="60"/>
              <w:ind w:left="6" w:hanging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государственной программы составляет 4 477 748,5 тыс. рублей,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том числе: </w:t>
            </w:r>
          </w:p>
          <w:p w:rsidR="003E34D0" w:rsidRDefault="003E34D0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– 3 033 932,5 тыс. рублей; </w:t>
            </w:r>
          </w:p>
          <w:p w:rsidR="003E34D0" w:rsidRDefault="003E34D0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1 093 401,2 тыс. рублей; </w:t>
            </w:r>
          </w:p>
          <w:p w:rsidR="003E34D0" w:rsidRDefault="003E34D0">
            <w:pPr>
              <w:pStyle w:val="ConsPlusNormal"/>
              <w:widowControl/>
              <w:spacing w:after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местных бюджетов – 65 974 тыс. рублей;</w:t>
            </w:r>
          </w:p>
          <w:p w:rsidR="003E34D0" w:rsidRDefault="003E34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284 440,7 тыс. рублей</w:t>
            </w:r>
          </w:p>
          <w:p w:rsidR="003E34D0" w:rsidRDefault="003E34D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32"/>
                <w:szCs w:val="32"/>
              </w:rPr>
            </w:pPr>
          </w:p>
          <w:p w:rsidR="003E34D0" w:rsidRDefault="003E34D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32"/>
                <w:szCs w:val="32"/>
              </w:rPr>
            </w:pPr>
          </w:p>
        </w:tc>
      </w:tr>
    </w:tbl>
    <w:p w:rsidR="00A02F4B" w:rsidRDefault="00A02F4B"/>
    <w:sectPr w:rsidR="00A02F4B" w:rsidSect="003E34D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D0" w:rsidRDefault="003E34D0" w:rsidP="003E34D0">
      <w:r>
        <w:separator/>
      </w:r>
    </w:p>
  </w:endnote>
  <w:endnote w:type="continuationSeparator" w:id="0">
    <w:p w:rsidR="003E34D0" w:rsidRDefault="003E34D0" w:rsidP="003E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D0" w:rsidRDefault="003E34D0" w:rsidP="003E34D0">
      <w:r>
        <w:separator/>
      </w:r>
    </w:p>
  </w:footnote>
  <w:footnote w:type="continuationSeparator" w:id="0">
    <w:p w:rsidR="003E34D0" w:rsidRDefault="003E34D0" w:rsidP="003E3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0813"/>
      <w:docPartObj>
        <w:docPartGallery w:val="Page Numbers (Top of Page)"/>
        <w:docPartUnique/>
      </w:docPartObj>
    </w:sdtPr>
    <w:sdtContent>
      <w:p w:rsidR="003E34D0" w:rsidRDefault="003E34D0" w:rsidP="003E34D0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E34D0" w:rsidRDefault="003E34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34D0"/>
    <w:rsid w:val="003624D4"/>
    <w:rsid w:val="003E34D0"/>
    <w:rsid w:val="009E1B94"/>
    <w:rsid w:val="00A02F4B"/>
    <w:rsid w:val="00E823FF"/>
    <w:rsid w:val="00E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E3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4D0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3E3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3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3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3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4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>minfin AO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2019-10-11T15:29:00Z</dcterms:created>
  <dcterms:modified xsi:type="dcterms:W3CDTF">2019-10-11T15:30:00Z</dcterms:modified>
</cp:coreProperties>
</file>