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EB" w:rsidRPr="002B17EB" w:rsidRDefault="002B17EB" w:rsidP="002B17EB">
      <w:pPr>
        <w:pStyle w:val="ConsPlusNormal"/>
        <w:jc w:val="center"/>
        <w:outlineLvl w:val="1"/>
        <w:rPr>
          <w:rFonts w:ascii="Times New Roman ??????????" w:hAnsi="Times New Roman ??????????" w:cs="Times New Roman"/>
          <w:b/>
          <w:color w:val="000000"/>
          <w:spacing w:val="60"/>
          <w:sz w:val="25"/>
          <w:szCs w:val="25"/>
        </w:rPr>
      </w:pPr>
      <w:r w:rsidRPr="002B17EB">
        <w:rPr>
          <w:rFonts w:ascii="Times New Roman ??????????" w:hAnsi="Times New Roman ??????????" w:cs="Times New Roman"/>
          <w:b/>
          <w:color w:val="000000"/>
          <w:spacing w:val="60"/>
          <w:sz w:val="25"/>
          <w:szCs w:val="25"/>
        </w:rPr>
        <w:t>ПАСПОРТ</w:t>
      </w:r>
    </w:p>
    <w:p w:rsidR="002B17EB" w:rsidRPr="002B17EB" w:rsidRDefault="002B17EB" w:rsidP="002B17E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2B17EB">
        <w:rPr>
          <w:rFonts w:ascii="Times New Roman" w:hAnsi="Times New Roman" w:cs="Times New Roman"/>
          <w:b/>
          <w:color w:val="000000"/>
          <w:sz w:val="25"/>
          <w:szCs w:val="25"/>
        </w:rPr>
        <w:t>государственной программы Архангельской области</w:t>
      </w:r>
    </w:p>
    <w:p w:rsidR="002B17EB" w:rsidRPr="002B17EB" w:rsidRDefault="002B17EB" w:rsidP="002B17EB">
      <w:pPr>
        <w:pStyle w:val="ConsPlusNormal"/>
        <w:jc w:val="center"/>
        <w:rPr>
          <w:sz w:val="25"/>
          <w:szCs w:val="25"/>
        </w:rPr>
      </w:pPr>
      <w:r w:rsidRPr="002B17EB">
        <w:rPr>
          <w:rFonts w:ascii="Times New Roman" w:hAnsi="Times New Roman" w:cs="Times New Roman"/>
          <w:b/>
          <w:color w:val="000000"/>
          <w:sz w:val="25"/>
          <w:szCs w:val="25"/>
        </w:rPr>
        <w:t>«Экономическое развитие и инвестиционная деятельность</w:t>
      </w:r>
    </w:p>
    <w:p w:rsidR="002B17EB" w:rsidRPr="002B17EB" w:rsidRDefault="002B17EB" w:rsidP="002B17E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2B17EB">
        <w:rPr>
          <w:rFonts w:ascii="Times New Roman" w:hAnsi="Times New Roman" w:cs="Times New Roman"/>
          <w:b/>
          <w:color w:val="000000"/>
          <w:sz w:val="25"/>
          <w:szCs w:val="25"/>
        </w:rPr>
        <w:t>в Архангельской области»</w:t>
      </w:r>
    </w:p>
    <w:p w:rsidR="002B17EB" w:rsidRPr="002B17EB" w:rsidRDefault="002B17EB" w:rsidP="002B17EB">
      <w:pPr>
        <w:pStyle w:val="ConsPlus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00" w:type="pct"/>
        <w:tblInd w:w="-62" w:type="dxa"/>
        <w:tblCellMar>
          <w:left w:w="62" w:type="dxa"/>
          <w:right w:w="62" w:type="dxa"/>
        </w:tblCellMar>
        <w:tblLook w:val="04A0"/>
      </w:tblPr>
      <w:tblGrid>
        <w:gridCol w:w="2470"/>
        <w:gridCol w:w="426"/>
        <w:gridCol w:w="6582"/>
      </w:tblGrid>
      <w:tr w:rsidR="002B17EB" w:rsidRPr="002B17EB" w:rsidTr="002B17EB">
        <w:tc>
          <w:tcPr>
            <w:tcW w:w="2470" w:type="dxa"/>
            <w:hideMark/>
          </w:tcPr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государственной 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–</w:t>
            </w: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государственная программа Архангельской области «Экономическое развитие и инвестиционная деятельность в Архангельской области» (далее –  государственная программа)</w:t>
            </w:r>
          </w:p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2B17EB" w:rsidRPr="002B17EB" w:rsidTr="002B17EB">
        <w:tc>
          <w:tcPr>
            <w:tcW w:w="2470" w:type="dxa"/>
          </w:tcPr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Ответственный исполнитель государственной программы</w:t>
            </w:r>
          </w:p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–</w:t>
            </w: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министерство экономического развития Архангельской области (далее – министерство экономического развития)</w:t>
            </w:r>
          </w:p>
        </w:tc>
      </w:tr>
      <w:tr w:rsidR="002B17EB" w:rsidRPr="002B17EB" w:rsidTr="002B17EB">
        <w:tc>
          <w:tcPr>
            <w:tcW w:w="2470" w:type="dxa"/>
            <w:vMerge w:val="restart"/>
            <w:hideMark/>
          </w:tcPr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Соисполнители государственной 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–</w:t>
            </w:r>
          </w:p>
        </w:tc>
        <w:tc>
          <w:tcPr>
            <w:tcW w:w="658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spacing w:after="6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контрактное агентство Архангельской области </w:t>
            </w: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  <w:t>(далее –  контрактное агентство);</w:t>
            </w:r>
          </w:p>
          <w:p w:rsidR="002B17EB" w:rsidRPr="002B17EB" w:rsidRDefault="002B17EB">
            <w:pPr>
              <w:pStyle w:val="ConsPlusNormal"/>
              <w:spacing w:after="6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агентство по тарифам и ценам Архангельской области (далее –  агентство по тарифам и ценам);</w:t>
            </w:r>
          </w:p>
        </w:tc>
      </w:tr>
      <w:tr w:rsidR="002B17EB" w:rsidRPr="002B17EB" w:rsidTr="002B17EB"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</w:tr>
      <w:tr w:rsidR="002B17EB" w:rsidRPr="002B17EB" w:rsidTr="002B17EB">
        <w:trPr>
          <w:trHeight w:val="23"/>
        </w:trPr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</w:tr>
      <w:tr w:rsidR="002B17EB" w:rsidRPr="002B17EB" w:rsidTr="002B17EB"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spacing w:after="6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министерство связи и информационных технологий Архангельской области (далее –  министерство связи и информационных технологий);</w:t>
            </w:r>
          </w:p>
        </w:tc>
      </w:tr>
      <w:tr w:rsidR="002B17EB" w:rsidRPr="002B17EB" w:rsidTr="002B17EB">
        <w:trPr>
          <w:trHeight w:val="495"/>
        </w:trPr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spacing w:after="6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министерство имущественных отношений Архангельской области (далее – министерство имущественных отношений);</w:t>
            </w:r>
          </w:p>
        </w:tc>
      </w:tr>
      <w:tr w:rsidR="002B17EB" w:rsidRPr="002B17EB" w:rsidTr="002B17EB">
        <w:trPr>
          <w:trHeight w:val="495"/>
        </w:trPr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министерство транспорта Архангельской области (далее – министерство транспорта)</w:t>
            </w:r>
          </w:p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2B17EB" w:rsidRPr="002B17EB" w:rsidTr="002B17EB">
        <w:tc>
          <w:tcPr>
            <w:tcW w:w="2470" w:type="dxa"/>
            <w:vMerge w:val="restart"/>
            <w:hideMark/>
          </w:tcPr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Подпрограммы государственной 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–</w:t>
            </w: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подпрограмма № 1 «Развитие промышленности </w:t>
            </w:r>
          </w:p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 инвестиционной деятельности в Архангельской области»;</w:t>
            </w:r>
          </w:p>
        </w:tc>
      </w:tr>
      <w:tr w:rsidR="002B17EB" w:rsidRPr="002B17EB" w:rsidTr="002B17EB"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spacing w:after="6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подпрограмма № 2 «Развитие субъектов малого </w:t>
            </w: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  <w:t>и среднего предпринимательства в Архангельской области»;</w:t>
            </w:r>
          </w:p>
        </w:tc>
      </w:tr>
      <w:tr w:rsidR="002B17EB" w:rsidRPr="002B17EB" w:rsidTr="002B17EB"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spacing w:after="6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подпрограмма № 3 «Совершенствование системы управления экономическим развитием Архангельской области»;</w:t>
            </w:r>
          </w:p>
        </w:tc>
      </w:tr>
      <w:tr w:rsidR="002B17EB" w:rsidRPr="002B17EB" w:rsidTr="002B17EB"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spacing w:after="6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подпрограмма № 4 «Совершенствование организации государственных закупок </w:t>
            </w: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  <w:t>в Архангельской области»;</w:t>
            </w:r>
          </w:p>
        </w:tc>
      </w:tr>
      <w:tr w:rsidR="002B17EB" w:rsidRPr="002B17EB" w:rsidTr="002B17EB"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подпрограмма № 5 «Проведение сбалансированной политики в области государственного регулирования тарифов на территории Архангельской области»</w:t>
            </w:r>
          </w:p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2B17EB" w:rsidRPr="002B17EB" w:rsidTr="002B17EB">
        <w:tc>
          <w:tcPr>
            <w:tcW w:w="2470" w:type="dxa"/>
            <w:vMerge w:val="restart"/>
            <w:hideMark/>
          </w:tcPr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Цели государственной 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–</w:t>
            </w: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создание условий для устойчивого роста экономики Архангельской области.</w:t>
            </w:r>
          </w:p>
        </w:tc>
      </w:tr>
      <w:tr w:rsidR="002B17EB" w:rsidRPr="002B17EB" w:rsidTr="002B17EB"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Перечень целевых показателей государственной программы приведен в приложении № 1 </w:t>
            </w:r>
          </w:p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 государственной программе</w:t>
            </w:r>
          </w:p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2B17EB" w:rsidRPr="002B17EB" w:rsidTr="002B17EB">
        <w:tc>
          <w:tcPr>
            <w:tcW w:w="2470" w:type="dxa"/>
            <w:vMerge w:val="restart"/>
            <w:hideMark/>
          </w:tcPr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Задачи государственной 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–</w:t>
            </w: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spacing w:after="60"/>
              <w:ind w:right="-113"/>
              <w:rPr>
                <w:rFonts w:ascii="Times New Roman" w:hAnsi="Times New Roman" w:cs="Times New Roman"/>
                <w:color w:val="000000"/>
                <w:sz w:val="25"/>
                <w:szCs w:val="25"/>
                <w:highlight w:val="cyan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задача № 1 – улучшение инвестиционного климата </w:t>
            </w: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  <w:t>и обеспечение устойчивых темпов роста промышленного производства в Архангельской области;</w:t>
            </w:r>
          </w:p>
        </w:tc>
      </w:tr>
      <w:tr w:rsidR="002B17EB" w:rsidRPr="002B17EB" w:rsidTr="002B17EB"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spacing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задача № 2 – 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2B17EB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самозанятых</w:t>
            </w:r>
            <w:proofErr w:type="spellEnd"/>
            <w:r w:rsidRPr="002B17EB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 граждан в Архангельской области;</w:t>
            </w:r>
          </w:p>
        </w:tc>
      </w:tr>
      <w:tr w:rsidR="002B17EB" w:rsidRPr="002B17EB" w:rsidTr="002B17EB"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spacing w:after="60"/>
              <w:rPr>
                <w:rFonts w:ascii="Times New Roman" w:hAnsi="Times New Roman" w:cs="Times New Roman"/>
                <w:color w:val="000000"/>
                <w:sz w:val="25"/>
                <w:szCs w:val="25"/>
                <w:highlight w:val="yellow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задача № 3 – повышение эффективности системы управления экономическим развитием Архангельской области;</w:t>
            </w:r>
          </w:p>
        </w:tc>
      </w:tr>
      <w:tr w:rsidR="002B17EB" w:rsidRPr="002B17EB" w:rsidTr="002B17EB"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spacing w:after="60" w:line="228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задача № 4 – повышение эффективности расходования бюджетных средств и средств внебюджетных источников финансирования при одновременном обеспечении потребностей заказчиков Архангельской области в качественных товарах, работах и услугах, необходимых для осуществления государственных полномочий </w:t>
            </w: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  <w:t>и реализации мероприятий государственных программ Архангельской области, национальных (региональных) проектов на территории Архангельской области;</w:t>
            </w:r>
          </w:p>
        </w:tc>
      </w:tr>
      <w:tr w:rsidR="002B17EB" w:rsidRPr="002B17EB" w:rsidTr="002B17EB"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658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5"/>
                <w:szCs w:val="25"/>
                <w:highlight w:val="cyan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задача № 5 – обеспечение эффективного </w:t>
            </w: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  <w:t>и стабильного государственного регулирования тарифов и цен в Архангельской области</w:t>
            </w:r>
          </w:p>
        </w:tc>
      </w:tr>
      <w:tr w:rsidR="002B17EB" w:rsidRPr="002B17EB" w:rsidTr="002B17EB"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B" w:rsidRPr="002B17EB" w:rsidRDefault="002B17E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17EB" w:rsidRPr="002B17EB" w:rsidRDefault="002B17EB">
            <w:pPr>
              <w:rPr>
                <w:color w:val="000000"/>
                <w:sz w:val="25"/>
                <w:szCs w:val="25"/>
                <w:highlight w:val="cyan"/>
              </w:rPr>
            </w:pPr>
          </w:p>
        </w:tc>
      </w:tr>
      <w:tr w:rsidR="002B17EB" w:rsidRPr="002B17EB" w:rsidTr="002B17EB">
        <w:tc>
          <w:tcPr>
            <w:tcW w:w="2470" w:type="dxa"/>
          </w:tcPr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Сроки и этапы реализации государственной программы</w:t>
            </w:r>
          </w:p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–</w:t>
            </w: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2020 – 2024 годы.</w:t>
            </w:r>
          </w:p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Государственная программа реализуется в один этап</w:t>
            </w:r>
          </w:p>
        </w:tc>
      </w:tr>
      <w:tr w:rsidR="002B17EB" w:rsidRPr="002B17EB" w:rsidTr="002B17EB">
        <w:tc>
          <w:tcPr>
            <w:tcW w:w="2470" w:type="dxa"/>
            <w:hideMark/>
          </w:tcPr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Объемы </w:t>
            </w:r>
          </w:p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 источники финансирования государственной 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–</w:t>
            </w:r>
          </w:p>
        </w:tc>
        <w:tc>
          <w:tcPr>
            <w:tcW w:w="658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17EB" w:rsidRPr="002B17EB" w:rsidRDefault="002B17E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5"/>
                <w:szCs w:val="25"/>
              </w:rPr>
            </w:pPr>
            <w:r w:rsidRPr="002B17EB">
              <w:rPr>
                <w:color w:val="auto"/>
                <w:sz w:val="25"/>
                <w:szCs w:val="25"/>
              </w:rPr>
              <w:t xml:space="preserve">общий объем финансирования государственной программы  составляет 2 712 502,1 тыс. рублей, </w:t>
            </w:r>
          </w:p>
          <w:p w:rsidR="002B17EB" w:rsidRPr="002B17EB" w:rsidRDefault="002B17E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5"/>
                <w:szCs w:val="25"/>
              </w:rPr>
            </w:pPr>
            <w:r w:rsidRPr="002B17EB">
              <w:rPr>
                <w:color w:val="auto"/>
                <w:sz w:val="25"/>
                <w:szCs w:val="25"/>
              </w:rPr>
              <w:t>в том числе за счет средств:</w:t>
            </w:r>
          </w:p>
          <w:p w:rsidR="002B17EB" w:rsidRPr="002B17EB" w:rsidRDefault="002B17E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5"/>
                <w:szCs w:val="25"/>
              </w:rPr>
            </w:pPr>
            <w:r w:rsidRPr="002B17EB">
              <w:rPr>
                <w:color w:val="auto"/>
                <w:sz w:val="25"/>
                <w:szCs w:val="25"/>
              </w:rPr>
              <w:t>федерального бюджета – 872 811,8 тыс. рублей;</w:t>
            </w:r>
          </w:p>
          <w:p w:rsidR="002B17EB" w:rsidRPr="002B17EB" w:rsidRDefault="002B17E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5"/>
                <w:szCs w:val="25"/>
              </w:rPr>
            </w:pPr>
            <w:r w:rsidRPr="002B17EB">
              <w:rPr>
                <w:color w:val="auto"/>
                <w:sz w:val="25"/>
                <w:szCs w:val="25"/>
              </w:rPr>
              <w:t>областного бюджета – 1 775 166,5 тыс. рублей;</w:t>
            </w:r>
          </w:p>
          <w:p w:rsidR="002B17EB" w:rsidRPr="002B17EB" w:rsidRDefault="002B17E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5"/>
                <w:szCs w:val="25"/>
              </w:rPr>
            </w:pPr>
            <w:r w:rsidRPr="002B17EB">
              <w:rPr>
                <w:color w:val="auto"/>
                <w:sz w:val="25"/>
                <w:szCs w:val="25"/>
              </w:rPr>
              <w:t>местных бюджетов – 67,8 тыс. рублей;</w:t>
            </w:r>
          </w:p>
          <w:p w:rsidR="002B17EB" w:rsidRPr="002B17EB" w:rsidRDefault="002B17E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2B17EB">
              <w:rPr>
                <w:rFonts w:ascii="Times New Roman" w:hAnsi="Times New Roman" w:cs="Times New Roman"/>
                <w:sz w:val="25"/>
                <w:szCs w:val="25"/>
              </w:rPr>
              <w:t>некоммерческой организации «Фонд развития моногородов» – 64 456,0 тыс. рублей</w:t>
            </w:r>
          </w:p>
        </w:tc>
      </w:tr>
    </w:tbl>
    <w:p w:rsidR="002B17EB" w:rsidRPr="002B17EB" w:rsidRDefault="002B17EB" w:rsidP="002B17EB">
      <w:pPr>
        <w:pStyle w:val="ConsPlusNormal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sectPr w:rsidR="002B17EB" w:rsidRPr="002B17EB" w:rsidSect="002B17EB">
      <w:footerReference w:type="default" r:id="rId6"/>
      <w:pgSz w:w="11906" w:h="16838"/>
      <w:pgMar w:top="1021" w:right="851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EB" w:rsidRDefault="002B17EB" w:rsidP="002B17EB">
      <w:r>
        <w:separator/>
      </w:r>
    </w:p>
  </w:endnote>
  <w:endnote w:type="continuationSeparator" w:id="0">
    <w:p w:rsidR="002B17EB" w:rsidRDefault="002B17EB" w:rsidP="002B1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2455"/>
      <w:docPartObj>
        <w:docPartGallery w:val="Page Numbers (Bottom of Page)"/>
        <w:docPartUnique/>
      </w:docPartObj>
    </w:sdtPr>
    <w:sdtContent>
      <w:p w:rsidR="002B17EB" w:rsidRDefault="002B17EB" w:rsidP="002B17EB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B17EB" w:rsidRDefault="002B1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EB" w:rsidRDefault="002B17EB" w:rsidP="002B17EB">
      <w:r>
        <w:separator/>
      </w:r>
    </w:p>
  </w:footnote>
  <w:footnote w:type="continuationSeparator" w:id="0">
    <w:p w:rsidR="002B17EB" w:rsidRDefault="002B17EB" w:rsidP="002B1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7EB"/>
    <w:rsid w:val="00286500"/>
    <w:rsid w:val="002B17EB"/>
    <w:rsid w:val="003624D4"/>
    <w:rsid w:val="00396C4A"/>
    <w:rsid w:val="0048747B"/>
    <w:rsid w:val="006747FC"/>
    <w:rsid w:val="0072106F"/>
    <w:rsid w:val="009B237C"/>
    <w:rsid w:val="009E1B94"/>
    <w:rsid w:val="00A02F4B"/>
    <w:rsid w:val="00A71A08"/>
    <w:rsid w:val="00B16006"/>
    <w:rsid w:val="00C51F3E"/>
    <w:rsid w:val="00EB0265"/>
    <w:rsid w:val="00EC76EC"/>
    <w:rsid w:val="00F8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EB"/>
    <w:pPr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B17EB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2B1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7EB"/>
    <w:rPr>
      <w:rFonts w:ascii="Times New Roman" w:eastAsia="Times New Roman" w:hAnsi="Times New Roman" w:cs="Times New Roman"/>
      <w:color w:val="212121"/>
      <w:sz w:val="28"/>
      <w:szCs w:val="28"/>
      <w:lang w:eastAsia="zh-CN"/>
    </w:rPr>
  </w:style>
  <w:style w:type="paragraph" w:styleId="a5">
    <w:name w:val="footer"/>
    <w:basedOn w:val="a"/>
    <w:link w:val="a6"/>
    <w:uiPriority w:val="99"/>
    <w:unhideWhenUsed/>
    <w:rsid w:val="002B1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7EB"/>
    <w:rPr>
      <w:rFonts w:ascii="Times New Roman" w:eastAsia="Times New Roman" w:hAnsi="Times New Roman" w:cs="Times New Roman"/>
      <w:color w:val="212121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2910</Characters>
  <Application>Microsoft Office Word</Application>
  <DocSecurity>0</DocSecurity>
  <Lines>24</Lines>
  <Paragraphs>6</Paragraphs>
  <ScaleCrop>false</ScaleCrop>
  <Company>minfin AO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2020-10-13T08:23:00Z</dcterms:created>
  <dcterms:modified xsi:type="dcterms:W3CDTF">2020-10-13T08:26:00Z</dcterms:modified>
</cp:coreProperties>
</file>