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9D4" w:rsidRDefault="002139D4" w:rsidP="002139D4">
      <w:pPr>
        <w:pStyle w:val="ConsPlusTitle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ПАСПОРТ</w:t>
      </w:r>
    </w:p>
    <w:p w:rsidR="002139D4" w:rsidRDefault="002139D4" w:rsidP="002139D4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государственной программы Архангельской области</w:t>
      </w:r>
    </w:p>
    <w:p w:rsidR="002139D4" w:rsidRDefault="002139D4" w:rsidP="002139D4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"Формирование современной городской среды</w:t>
      </w:r>
    </w:p>
    <w:p w:rsidR="002139D4" w:rsidRDefault="002139D4" w:rsidP="002139D4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Архангельской области"</w:t>
      </w:r>
    </w:p>
    <w:p w:rsidR="002139D4" w:rsidRDefault="002139D4" w:rsidP="002139D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551"/>
        <w:gridCol w:w="340"/>
        <w:gridCol w:w="6180"/>
      </w:tblGrid>
      <w:tr w:rsidR="002139D4" w:rsidTr="002139D4">
        <w:tc>
          <w:tcPr>
            <w:tcW w:w="2551" w:type="dxa"/>
            <w:hideMark/>
          </w:tcPr>
          <w:p w:rsidR="002139D4" w:rsidRDefault="002139D4">
            <w:pPr>
              <w:pStyle w:val="ConsPlusNormal"/>
              <w:spacing w:line="276" w:lineRule="auto"/>
            </w:pPr>
            <w:r>
              <w:t>Наименование государственной программы</w:t>
            </w:r>
          </w:p>
        </w:tc>
        <w:tc>
          <w:tcPr>
            <w:tcW w:w="340" w:type="dxa"/>
            <w:hideMark/>
          </w:tcPr>
          <w:p w:rsidR="002139D4" w:rsidRDefault="002139D4">
            <w:pPr>
              <w:pStyle w:val="ConsPlusNormal"/>
              <w:spacing w:line="276" w:lineRule="auto"/>
              <w:jc w:val="center"/>
            </w:pPr>
            <w:r>
              <w:t>-</w:t>
            </w:r>
          </w:p>
        </w:tc>
        <w:tc>
          <w:tcPr>
            <w:tcW w:w="6180" w:type="dxa"/>
            <w:hideMark/>
          </w:tcPr>
          <w:p w:rsidR="002139D4" w:rsidRDefault="002139D4">
            <w:pPr>
              <w:pStyle w:val="ConsPlusNormal"/>
              <w:spacing w:line="276" w:lineRule="auto"/>
            </w:pPr>
            <w:r>
              <w:t>государственная программа Архангельской области "Формирование современной городской среды в Архангельской области" (далее - государственная программа)</w:t>
            </w:r>
          </w:p>
        </w:tc>
      </w:tr>
      <w:tr w:rsidR="002139D4" w:rsidTr="002139D4">
        <w:tc>
          <w:tcPr>
            <w:tcW w:w="2551" w:type="dxa"/>
            <w:hideMark/>
          </w:tcPr>
          <w:p w:rsidR="002139D4" w:rsidRDefault="002139D4">
            <w:pPr>
              <w:pStyle w:val="ConsPlusNormal"/>
              <w:spacing w:line="276" w:lineRule="auto"/>
            </w:pPr>
            <w:r>
              <w:t>Ответственный исполнитель государственной программы</w:t>
            </w:r>
          </w:p>
        </w:tc>
        <w:tc>
          <w:tcPr>
            <w:tcW w:w="340" w:type="dxa"/>
            <w:hideMark/>
          </w:tcPr>
          <w:p w:rsidR="002139D4" w:rsidRDefault="002139D4">
            <w:pPr>
              <w:pStyle w:val="ConsPlusNormal"/>
              <w:spacing w:line="276" w:lineRule="auto"/>
              <w:jc w:val="center"/>
            </w:pPr>
            <w:r>
              <w:t>-</w:t>
            </w:r>
          </w:p>
        </w:tc>
        <w:tc>
          <w:tcPr>
            <w:tcW w:w="6180" w:type="dxa"/>
            <w:hideMark/>
          </w:tcPr>
          <w:p w:rsidR="002139D4" w:rsidRDefault="002139D4">
            <w:pPr>
              <w:pStyle w:val="ConsPlusNormal"/>
              <w:spacing w:line="276" w:lineRule="auto"/>
            </w:pPr>
            <w:r>
              <w:t>министерство топливно-энергетического комплекса и жилищно-коммунального хозяйства Архангельской области (далее - министерство ТЭК и ЖКХ)</w:t>
            </w:r>
          </w:p>
        </w:tc>
      </w:tr>
      <w:tr w:rsidR="002139D4" w:rsidTr="002139D4">
        <w:tc>
          <w:tcPr>
            <w:tcW w:w="2551" w:type="dxa"/>
            <w:hideMark/>
          </w:tcPr>
          <w:p w:rsidR="002139D4" w:rsidRDefault="002139D4">
            <w:pPr>
              <w:pStyle w:val="ConsPlusNormal"/>
              <w:spacing w:line="276" w:lineRule="auto"/>
            </w:pPr>
            <w:r>
              <w:t>Соисполнители государственной программы</w:t>
            </w:r>
          </w:p>
        </w:tc>
        <w:tc>
          <w:tcPr>
            <w:tcW w:w="340" w:type="dxa"/>
            <w:hideMark/>
          </w:tcPr>
          <w:p w:rsidR="002139D4" w:rsidRDefault="002139D4">
            <w:pPr>
              <w:pStyle w:val="ConsPlusNormal"/>
              <w:spacing w:line="276" w:lineRule="auto"/>
              <w:jc w:val="center"/>
            </w:pPr>
            <w:r>
              <w:t>-</w:t>
            </w:r>
          </w:p>
        </w:tc>
        <w:tc>
          <w:tcPr>
            <w:tcW w:w="6180" w:type="dxa"/>
            <w:hideMark/>
          </w:tcPr>
          <w:p w:rsidR="002139D4" w:rsidRDefault="002139D4">
            <w:pPr>
              <w:pStyle w:val="ConsPlusNormal"/>
              <w:spacing w:line="276" w:lineRule="auto"/>
            </w:pPr>
            <w:r>
              <w:t>нет</w:t>
            </w:r>
          </w:p>
        </w:tc>
      </w:tr>
      <w:tr w:rsidR="002139D4" w:rsidTr="002139D4">
        <w:tc>
          <w:tcPr>
            <w:tcW w:w="2551" w:type="dxa"/>
            <w:hideMark/>
          </w:tcPr>
          <w:p w:rsidR="002139D4" w:rsidRDefault="002139D4">
            <w:pPr>
              <w:pStyle w:val="ConsPlusNormal"/>
              <w:spacing w:line="276" w:lineRule="auto"/>
            </w:pPr>
            <w:r>
              <w:t>Подпрограммы государственной программы</w:t>
            </w:r>
          </w:p>
        </w:tc>
        <w:tc>
          <w:tcPr>
            <w:tcW w:w="340" w:type="dxa"/>
            <w:hideMark/>
          </w:tcPr>
          <w:p w:rsidR="002139D4" w:rsidRDefault="002139D4">
            <w:pPr>
              <w:pStyle w:val="ConsPlusNormal"/>
              <w:spacing w:line="276" w:lineRule="auto"/>
              <w:jc w:val="center"/>
            </w:pPr>
            <w:r>
              <w:t>-</w:t>
            </w:r>
          </w:p>
        </w:tc>
        <w:tc>
          <w:tcPr>
            <w:tcW w:w="6180" w:type="dxa"/>
            <w:hideMark/>
          </w:tcPr>
          <w:p w:rsidR="002139D4" w:rsidRDefault="002139D4">
            <w:pPr>
              <w:pStyle w:val="ConsPlusNormal"/>
              <w:spacing w:line="276" w:lineRule="auto"/>
            </w:pPr>
            <w:r>
              <w:t>нет</w:t>
            </w:r>
          </w:p>
        </w:tc>
      </w:tr>
      <w:tr w:rsidR="002139D4" w:rsidTr="002139D4">
        <w:tc>
          <w:tcPr>
            <w:tcW w:w="2551" w:type="dxa"/>
            <w:hideMark/>
          </w:tcPr>
          <w:p w:rsidR="002139D4" w:rsidRDefault="002139D4">
            <w:pPr>
              <w:pStyle w:val="ConsPlusNormal"/>
              <w:spacing w:line="276" w:lineRule="auto"/>
            </w:pPr>
            <w:r>
              <w:t>Цель государственной программы</w:t>
            </w:r>
          </w:p>
        </w:tc>
        <w:tc>
          <w:tcPr>
            <w:tcW w:w="340" w:type="dxa"/>
            <w:hideMark/>
          </w:tcPr>
          <w:p w:rsidR="002139D4" w:rsidRDefault="002139D4">
            <w:pPr>
              <w:pStyle w:val="ConsPlusNormal"/>
              <w:spacing w:line="276" w:lineRule="auto"/>
              <w:jc w:val="center"/>
            </w:pPr>
            <w:r>
              <w:t>-</w:t>
            </w:r>
          </w:p>
        </w:tc>
        <w:tc>
          <w:tcPr>
            <w:tcW w:w="6180" w:type="dxa"/>
            <w:hideMark/>
          </w:tcPr>
          <w:p w:rsidR="002139D4" w:rsidRDefault="002139D4">
            <w:pPr>
              <w:pStyle w:val="ConsPlusNormal"/>
              <w:spacing w:line="276" w:lineRule="auto"/>
            </w:pPr>
            <w:r>
              <w:t xml:space="preserve">повышение качества и комфорта городской среды на территории Архангельской области. </w:t>
            </w:r>
            <w:hyperlink r:id="rId6" w:anchor="Par192" w:tooltip="ПЕРЕЧЕНЬ" w:history="1">
              <w:r>
                <w:rPr>
                  <w:rStyle w:val="a3"/>
                  <w:color w:val="auto"/>
                  <w:u w:val="none"/>
                </w:rPr>
                <w:t>Перечень</w:t>
              </w:r>
            </w:hyperlink>
            <w:r>
              <w:t xml:space="preserve"> целевых показателей государственной программы приведен в приложении N 1 к настоящей государственной программе</w:t>
            </w:r>
          </w:p>
        </w:tc>
      </w:tr>
      <w:tr w:rsidR="002139D4" w:rsidTr="002139D4">
        <w:tc>
          <w:tcPr>
            <w:tcW w:w="2551" w:type="dxa"/>
            <w:hideMark/>
          </w:tcPr>
          <w:p w:rsidR="002139D4" w:rsidRDefault="002139D4">
            <w:pPr>
              <w:pStyle w:val="ConsPlusNormal"/>
              <w:spacing w:line="276" w:lineRule="auto"/>
            </w:pPr>
            <w:r>
              <w:t>Задачи государственной программы</w:t>
            </w:r>
          </w:p>
        </w:tc>
        <w:tc>
          <w:tcPr>
            <w:tcW w:w="340" w:type="dxa"/>
            <w:hideMark/>
          </w:tcPr>
          <w:p w:rsidR="002139D4" w:rsidRDefault="002139D4">
            <w:pPr>
              <w:pStyle w:val="ConsPlusNormal"/>
              <w:spacing w:line="276" w:lineRule="auto"/>
              <w:jc w:val="center"/>
            </w:pPr>
            <w:r>
              <w:t>-</w:t>
            </w:r>
          </w:p>
        </w:tc>
        <w:tc>
          <w:tcPr>
            <w:tcW w:w="6180" w:type="dxa"/>
            <w:hideMark/>
          </w:tcPr>
          <w:p w:rsidR="002139D4" w:rsidRDefault="002139D4">
            <w:pPr>
              <w:pStyle w:val="ConsPlusNormal"/>
              <w:spacing w:line="276" w:lineRule="auto"/>
            </w:pPr>
            <w:r>
              <w:t>задача N 1 - обеспечение формирования единых ключевых подходов и приоритетов формирования комфортной городской среды на территории Архангельской области с учетом приоритетов территориального развития;</w:t>
            </w:r>
          </w:p>
          <w:p w:rsidR="002139D4" w:rsidRDefault="002139D4">
            <w:pPr>
              <w:pStyle w:val="ConsPlusNormal"/>
              <w:spacing w:line="276" w:lineRule="auto"/>
            </w:pPr>
            <w:r>
              <w:t>задача N 2 - обеспечение проведения мероприятий по благоустройству территорий муниципальных образований Архангельской области (далее - муниципальные образования), включая объекты, находящиеся в частной собственности, и прилегающие к ним территории, в соответствии с едиными требованиями;</w:t>
            </w:r>
          </w:p>
          <w:p w:rsidR="002139D4" w:rsidRDefault="002139D4">
            <w:pPr>
              <w:pStyle w:val="ConsPlusNormal"/>
              <w:spacing w:line="276" w:lineRule="auto"/>
            </w:pPr>
            <w:r>
              <w:t>задача N 3 - создание универсальных механизмов вовлечения заинтересованных лиц в реализацию мероприятий по благоустройству территорий муниципальных образований</w:t>
            </w:r>
          </w:p>
        </w:tc>
      </w:tr>
      <w:tr w:rsidR="002139D4" w:rsidTr="002139D4">
        <w:tc>
          <w:tcPr>
            <w:tcW w:w="2551" w:type="dxa"/>
            <w:hideMark/>
          </w:tcPr>
          <w:p w:rsidR="002139D4" w:rsidRDefault="002139D4">
            <w:pPr>
              <w:pStyle w:val="ConsPlusNormal"/>
              <w:spacing w:line="276" w:lineRule="auto"/>
            </w:pPr>
            <w:r>
              <w:t>Сроки и этапы реализации государственной программы</w:t>
            </w:r>
          </w:p>
        </w:tc>
        <w:tc>
          <w:tcPr>
            <w:tcW w:w="340" w:type="dxa"/>
            <w:hideMark/>
          </w:tcPr>
          <w:p w:rsidR="002139D4" w:rsidRDefault="002139D4">
            <w:pPr>
              <w:pStyle w:val="ConsPlusNormal"/>
              <w:spacing w:line="276" w:lineRule="auto"/>
              <w:jc w:val="center"/>
            </w:pPr>
            <w:r>
              <w:t>-</w:t>
            </w:r>
          </w:p>
        </w:tc>
        <w:tc>
          <w:tcPr>
            <w:tcW w:w="6180" w:type="dxa"/>
            <w:hideMark/>
          </w:tcPr>
          <w:p w:rsidR="002139D4" w:rsidRDefault="002139D4">
            <w:pPr>
              <w:pStyle w:val="ConsPlusNormal"/>
              <w:spacing w:line="276" w:lineRule="auto"/>
            </w:pPr>
            <w:r>
              <w:t>2020 - 2024 годы. Государственная программа реализуется в один этап</w:t>
            </w:r>
          </w:p>
        </w:tc>
      </w:tr>
      <w:tr w:rsidR="002139D4" w:rsidTr="002139D4">
        <w:tc>
          <w:tcPr>
            <w:tcW w:w="2551" w:type="dxa"/>
            <w:hideMark/>
          </w:tcPr>
          <w:p w:rsidR="002139D4" w:rsidRDefault="002139D4">
            <w:pPr>
              <w:pStyle w:val="ConsPlusNormal"/>
              <w:spacing w:line="276" w:lineRule="auto"/>
            </w:pPr>
            <w:r>
              <w:lastRenderedPageBreak/>
              <w:t>Объем и источники финансирования государственной программы</w:t>
            </w:r>
          </w:p>
        </w:tc>
        <w:tc>
          <w:tcPr>
            <w:tcW w:w="340" w:type="dxa"/>
            <w:hideMark/>
          </w:tcPr>
          <w:p w:rsidR="002139D4" w:rsidRDefault="002139D4">
            <w:pPr>
              <w:pStyle w:val="ConsPlusNormal"/>
              <w:spacing w:line="276" w:lineRule="auto"/>
              <w:jc w:val="center"/>
            </w:pPr>
            <w:r>
              <w:t>-</w:t>
            </w:r>
          </w:p>
        </w:tc>
        <w:tc>
          <w:tcPr>
            <w:tcW w:w="6180" w:type="dxa"/>
            <w:hideMark/>
          </w:tcPr>
          <w:p w:rsidR="002139D4" w:rsidRDefault="002139D4">
            <w:pPr>
              <w:pStyle w:val="ConsPlusNormal"/>
              <w:spacing w:line="276" w:lineRule="auto"/>
            </w:pPr>
            <w:r>
              <w:t>общий объем финансирования государственной программы составляет 3 048 281,7 тыс. рублей, в том числе:</w:t>
            </w:r>
          </w:p>
          <w:p w:rsidR="002139D4" w:rsidRDefault="002139D4">
            <w:pPr>
              <w:pStyle w:val="ConsPlusNormal"/>
              <w:spacing w:line="276" w:lineRule="auto"/>
            </w:pPr>
            <w:r>
              <w:t>средства федерального бюджета – 2 014 215,7 тыс. рублей;</w:t>
            </w:r>
          </w:p>
          <w:p w:rsidR="002139D4" w:rsidRDefault="002139D4">
            <w:pPr>
              <w:pStyle w:val="ConsPlusNormal"/>
              <w:spacing w:line="276" w:lineRule="auto"/>
            </w:pPr>
            <w:r>
              <w:t>средства областного бюджета – 965 854,2 тыс. рублей;</w:t>
            </w:r>
          </w:p>
          <w:p w:rsidR="002139D4" w:rsidRDefault="002139D4">
            <w:pPr>
              <w:pStyle w:val="ConsPlusNormal"/>
              <w:spacing w:line="276" w:lineRule="auto"/>
            </w:pPr>
            <w:r>
              <w:t>средства местных бюджетов – 38 648,1 тыс. рублей;</w:t>
            </w:r>
          </w:p>
          <w:p w:rsidR="002139D4" w:rsidRDefault="002139D4">
            <w:pPr>
              <w:pStyle w:val="ConsPlusNormal"/>
              <w:spacing w:line="276" w:lineRule="auto"/>
            </w:pPr>
            <w:r>
              <w:t>внебюджетные средства – 29 563,7 тыс. рублей.</w:t>
            </w:r>
          </w:p>
        </w:tc>
      </w:tr>
    </w:tbl>
    <w:p w:rsidR="00A02F4B" w:rsidRDefault="00A02F4B"/>
    <w:sectPr w:rsidR="00A02F4B" w:rsidSect="002139D4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39D4" w:rsidRDefault="002139D4" w:rsidP="002139D4">
      <w:pPr>
        <w:spacing w:after="0" w:line="240" w:lineRule="auto"/>
      </w:pPr>
      <w:r>
        <w:separator/>
      </w:r>
    </w:p>
  </w:endnote>
  <w:endnote w:type="continuationSeparator" w:id="0">
    <w:p w:rsidR="002139D4" w:rsidRDefault="002139D4" w:rsidP="00213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39D4" w:rsidRDefault="002139D4" w:rsidP="002139D4">
      <w:pPr>
        <w:spacing w:after="0" w:line="240" w:lineRule="auto"/>
      </w:pPr>
      <w:r>
        <w:separator/>
      </w:r>
    </w:p>
  </w:footnote>
  <w:footnote w:type="continuationSeparator" w:id="0">
    <w:p w:rsidR="002139D4" w:rsidRDefault="002139D4" w:rsidP="002139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062407"/>
      <w:docPartObj>
        <w:docPartGallery w:val="Page Numbers (Top of Page)"/>
        <w:docPartUnique/>
      </w:docPartObj>
    </w:sdtPr>
    <w:sdtContent>
      <w:p w:rsidR="002139D4" w:rsidRDefault="002139D4">
        <w:pPr>
          <w:pStyle w:val="a4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2139D4" w:rsidRDefault="002139D4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39D4"/>
    <w:rsid w:val="00181073"/>
    <w:rsid w:val="002139D4"/>
    <w:rsid w:val="00286500"/>
    <w:rsid w:val="003624D4"/>
    <w:rsid w:val="0038090C"/>
    <w:rsid w:val="00396C4A"/>
    <w:rsid w:val="003A5867"/>
    <w:rsid w:val="004959E9"/>
    <w:rsid w:val="006747FC"/>
    <w:rsid w:val="0072106F"/>
    <w:rsid w:val="00803500"/>
    <w:rsid w:val="00811F8A"/>
    <w:rsid w:val="0083549F"/>
    <w:rsid w:val="009447A8"/>
    <w:rsid w:val="00986AAB"/>
    <w:rsid w:val="009B237C"/>
    <w:rsid w:val="009E1B94"/>
    <w:rsid w:val="00A02F4B"/>
    <w:rsid w:val="00A139D0"/>
    <w:rsid w:val="00A6605E"/>
    <w:rsid w:val="00A71A08"/>
    <w:rsid w:val="00B16006"/>
    <w:rsid w:val="00B35EE3"/>
    <w:rsid w:val="00B5152B"/>
    <w:rsid w:val="00C360DC"/>
    <w:rsid w:val="00C51F3E"/>
    <w:rsid w:val="00EB0265"/>
    <w:rsid w:val="00EC76EC"/>
    <w:rsid w:val="00F852F8"/>
    <w:rsid w:val="00FE4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9D4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39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2139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139D4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139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39D4"/>
    <w:rPr>
      <w:rFonts w:eastAsiaTheme="minorEastAsia" w:cs="Times New Roman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2139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139D4"/>
    <w:rPr>
      <w:rFonts w:eastAsiaTheme="minorEastAsia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04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G:\groups1\all\Surovtseva\&#1041;&#1102;&#1076;&#1078;&#1077;&#1090;2022\1-&#1055;&#1077;&#1088;&#1074;&#1086;&#1077;%20&#1095;&#1090;&#1077;&#1085;&#1080;&#1077;\301-11-&#1043;&#1055;%20&#1043;&#1086;&#1088;&#1086;&#1076;&#1089;&#1082;&#1072;&#1103;%20&#1089;&#1088;&#1077;&#1076;&#1072;.doc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1840</Characters>
  <Application>Microsoft Office Word</Application>
  <DocSecurity>0</DocSecurity>
  <Lines>15</Lines>
  <Paragraphs>4</Paragraphs>
  <ScaleCrop>false</ScaleCrop>
  <Company>minfin AO</Company>
  <LinksUpToDate>false</LinksUpToDate>
  <CharactersWithSpaces>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minfin user</dc:creator>
  <cp:lastModifiedBy>minfin user</cp:lastModifiedBy>
  <cp:revision>1</cp:revision>
  <dcterms:created xsi:type="dcterms:W3CDTF">2021-10-28T15:43:00Z</dcterms:created>
  <dcterms:modified xsi:type="dcterms:W3CDTF">2021-10-28T15:44:00Z</dcterms:modified>
</cp:coreProperties>
</file>