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B1" w:rsidRDefault="006D06B1" w:rsidP="006D06B1">
      <w:pPr>
        <w:pStyle w:val="2"/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А С П О Р Т</w:t>
      </w:r>
    </w:p>
    <w:p w:rsidR="006D06B1" w:rsidRDefault="006D06B1" w:rsidP="006D06B1">
      <w:pPr>
        <w:keepNext/>
        <w:autoSpaceDE w:val="0"/>
        <w:jc w:val="center"/>
      </w:pPr>
      <w:r>
        <w:rPr>
          <w:b/>
        </w:rPr>
        <w:t>государственной программы Архангельской области</w:t>
      </w:r>
    </w:p>
    <w:p w:rsidR="006D06B1" w:rsidRDefault="006D06B1" w:rsidP="006D06B1">
      <w:pPr>
        <w:keepNext/>
        <w:autoSpaceDE w:val="0"/>
        <w:jc w:val="center"/>
      </w:pPr>
      <w:r>
        <w:rPr>
          <w:b/>
        </w:rPr>
        <w:t>«Содействие занятости населения Архангельской области,</w:t>
      </w:r>
    </w:p>
    <w:p w:rsidR="006D06B1" w:rsidRDefault="006D06B1" w:rsidP="006D06B1">
      <w:pPr>
        <w:keepNext/>
        <w:autoSpaceDE w:val="0"/>
        <w:jc w:val="center"/>
      </w:pPr>
      <w:r>
        <w:rPr>
          <w:b/>
        </w:rPr>
        <w:t>улучшение условий и охраны труда»</w:t>
      </w:r>
    </w:p>
    <w:p w:rsidR="006D06B1" w:rsidRDefault="006D06B1" w:rsidP="006D06B1">
      <w:pPr>
        <w:keepNext/>
        <w:ind w:firstLine="720"/>
        <w:jc w:val="both"/>
        <w:rPr>
          <w:b/>
        </w:rPr>
      </w:pPr>
    </w:p>
    <w:p w:rsidR="006D06B1" w:rsidRDefault="006D06B1" w:rsidP="006D06B1">
      <w:pPr>
        <w:keepNext/>
        <w:ind w:firstLine="720"/>
        <w:jc w:val="both"/>
        <w:rPr>
          <w:b/>
        </w:rPr>
      </w:pPr>
    </w:p>
    <w:tbl>
      <w:tblPr>
        <w:tblW w:w="4900" w:type="pct"/>
        <w:tblLayout w:type="fixed"/>
        <w:tblLook w:val="04A0"/>
      </w:tblPr>
      <w:tblGrid>
        <w:gridCol w:w="2782"/>
        <w:gridCol w:w="534"/>
        <w:gridCol w:w="6064"/>
      </w:tblGrid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государственной 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программы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государственная программа Архангельской области «Содействие занятости населения Архангельской области, улучшение условий и охраны труда» 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(далее – государственная программа)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Соисполнители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государственной программы 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  <w:hideMark/>
          </w:tcPr>
          <w:p w:rsidR="006D06B1" w:rsidRDefault="006D06B1">
            <w:pPr>
              <w:autoSpaceDE w:val="0"/>
              <w:spacing w:after="120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Подпрограммы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государственной программы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подпрограмма № 1 «Активная политика занятости и социальная поддержка безработных граждан»; 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подпрограмма № 2 «Улучшение условий </w:t>
            </w:r>
            <w:r>
              <w:rPr>
                <w:sz w:val="24"/>
                <w:szCs w:val="24"/>
              </w:rPr>
              <w:br/>
              <w:t>и охраны труда в Архангельской области»;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подпрограмма № 5 «Повышение мобильности трудовых ресурсов»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подпрограмма № 6 «Оказание содействия добровольному переселению в Архангельскую область соотечественников, проживающих за рубежом (2016 –2024 годы)»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подпрограмма № 7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занятости»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Цели государственной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программы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6D06B1" w:rsidRDefault="006D06B1">
            <w:pPr>
              <w:autoSpaceDE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6D06B1" w:rsidRDefault="006D06B1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6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обеспечение условий развития эффективного рынка труда и государственных гарантий по содействию реализации прав граждан на полную, продуктивную и свободно избранную занятость.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Перечень целевых показателей приведен </w:t>
            </w:r>
            <w:r>
              <w:rPr>
                <w:sz w:val="24"/>
                <w:szCs w:val="24"/>
              </w:rPr>
              <w:br/>
              <w:t>в приложении № 1 к настоящей государственной программе</w:t>
            </w:r>
          </w:p>
          <w:p w:rsidR="006D06B1" w:rsidRDefault="006D06B1">
            <w:pPr>
              <w:autoSpaceDE w:val="0"/>
              <w:ind w:firstLine="6"/>
              <w:rPr>
                <w:sz w:val="24"/>
                <w:szCs w:val="24"/>
              </w:rPr>
            </w:pP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Задачи государственной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5926" w:type="dxa"/>
            <w:hideMark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 xml:space="preserve">предотвращение роста напряженности на рынке труда Архангельской области; </w:t>
            </w:r>
          </w:p>
          <w:p w:rsidR="006D06B1" w:rsidRDefault="006D06B1">
            <w:pPr>
              <w:autoSpaceDE w:val="0"/>
              <w:spacing w:before="120"/>
            </w:pPr>
            <w:r>
              <w:rPr>
                <w:sz w:val="24"/>
                <w:szCs w:val="24"/>
              </w:rPr>
              <w:lastRenderedPageBreak/>
              <w:t>улучшение условий и охраны труда, снижение профессиональных рисков работников организаций, расположенных на территории Архангельской области;</w:t>
            </w:r>
          </w:p>
          <w:p w:rsidR="006D06B1" w:rsidRDefault="006D06B1">
            <w:pPr>
              <w:shd w:val="clear" w:color="auto" w:fill="FFFFFF"/>
              <w:autoSpaceDE w:val="0"/>
              <w:spacing w:before="120"/>
              <w:ind w:firstLine="6"/>
            </w:pPr>
            <w:r>
              <w:rPr>
                <w:sz w:val="24"/>
                <w:szCs w:val="24"/>
              </w:rPr>
              <w:t>увеличение трудового потенциала Архангельской области;</w:t>
            </w:r>
          </w:p>
          <w:p w:rsidR="006D06B1" w:rsidRDefault="006D06B1">
            <w:pPr>
              <w:shd w:val="clear" w:color="auto" w:fill="FFFFFF"/>
              <w:autoSpaceDE w:val="0"/>
              <w:spacing w:before="120"/>
              <w:ind w:firstLine="6"/>
            </w:pPr>
            <w:r>
              <w:rPr>
                <w:sz w:val="24"/>
                <w:szCs w:val="24"/>
              </w:rPr>
              <w:t xml:space="preserve">обеспечение социальной стабильности в сфере занятости населения в период негативного влияния внешнеэкономической конъюнктуры; </w:t>
            </w:r>
          </w:p>
          <w:p w:rsidR="006D06B1" w:rsidRDefault="006D06B1">
            <w:pPr>
              <w:autoSpaceDE w:val="0"/>
              <w:spacing w:after="80"/>
            </w:pPr>
            <w:r>
              <w:rPr>
                <w:sz w:val="24"/>
                <w:szCs w:val="24"/>
              </w:rPr>
              <w:t>обеспечение работодателей Архангельской области, испытывающих потребность в квалифицированных кадрах, трудовыми ресурсами из других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</w:t>
            </w: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lastRenderedPageBreak/>
              <w:t>Сроки и этапы реализации государственной программы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522" w:type="dxa"/>
            <w:hideMark/>
          </w:tcPr>
          <w:p w:rsidR="006D06B1" w:rsidRDefault="006D06B1">
            <w:pPr>
              <w:autoSpaceDE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</w:tcPr>
          <w:p w:rsidR="006D06B1" w:rsidRDefault="006D06B1">
            <w:pPr>
              <w:autoSpaceDE w:val="0"/>
            </w:pPr>
            <w:r>
              <w:rPr>
                <w:sz w:val="24"/>
                <w:szCs w:val="24"/>
                <w:lang w:eastAsia="ar-SA"/>
              </w:rPr>
              <w:t>2021 – 2025</w:t>
            </w:r>
            <w:r>
              <w:rPr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годы.</w:t>
            </w:r>
          </w:p>
          <w:p w:rsidR="006D06B1" w:rsidRDefault="006D06B1">
            <w:pPr>
              <w:autoSpaceDE w:val="0"/>
            </w:pPr>
            <w:r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  <w:p w:rsidR="006D06B1" w:rsidRDefault="006D06B1">
            <w:pPr>
              <w:autoSpaceDE w:val="0"/>
              <w:rPr>
                <w:sz w:val="24"/>
                <w:szCs w:val="24"/>
              </w:rPr>
            </w:pPr>
          </w:p>
        </w:tc>
      </w:tr>
      <w:tr w:rsidR="006D06B1" w:rsidTr="006D06B1">
        <w:trPr>
          <w:trHeight w:val="1827"/>
        </w:trPr>
        <w:tc>
          <w:tcPr>
            <w:tcW w:w="2718" w:type="dxa"/>
            <w:hideMark/>
          </w:tcPr>
          <w:p w:rsidR="006D06B1" w:rsidRDefault="006D06B1">
            <w:pPr>
              <w:widowControl w:val="0"/>
              <w:tabs>
                <w:tab w:val="left" w:pos="993"/>
              </w:tabs>
              <w:autoSpaceDE w:val="0"/>
            </w:pPr>
            <w:r>
              <w:rPr>
                <w:sz w:val="24"/>
                <w:szCs w:val="24"/>
              </w:rPr>
              <w:t xml:space="preserve">Объемы и источники финансирования государственной программы </w:t>
            </w:r>
          </w:p>
        </w:tc>
        <w:tc>
          <w:tcPr>
            <w:tcW w:w="522" w:type="dxa"/>
            <w:hideMark/>
          </w:tcPr>
          <w:p w:rsidR="006D06B1" w:rsidRDefault="006D06B1">
            <w:pPr>
              <w:widowControl w:val="0"/>
              <w:tabs>
                <w:tab w:val="left" w:pos="993"/>
              </w:tabs>
              <w:jc w:val="both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926" w:type="dxa"/>
            <w:hideMark/>
          </w:tcPr>
          <w:p w:rsidR="006D06B1" w:rsidRDefault="006D06B1">
            <w:pPr>
              <w:pStyle w:val="ConsPlusNormal"/>
              <w:spacing w:after="4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общий объем финансирования государственной программы составляет 9 249 242,3 тыс. рублей, в том числе:</w:t>
            </w:r>
          </w:p>
          <w:p w:rsidR="006D06B1" w:rsidRDefault="006D06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федерального бюджета – 4 153 262,4 тыс. рублей;</w:t>
            </w:r>
          </w:p>
          <w:p w:rsidR="006D06B1" w:rsidRDefault="006D06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4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средства областного бюджета – 2 712 170,6 тыс. рублей;</w:t>
            </w:r>
          </w:p>
          <w:p w:rsidR="006D06B1" w:rsidRDefault="006D06B1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40"/>
            </w:pPr>
            <w:r>
              <w:rPr>
                <w:rFonts w:eastAsia="Calibri"/>
                <w:sz w:val="24"/>
                <w:szCs w:val="24"/>
                <w:lang w:eastAsia="en-US"/>
              </w:rPr>
              <w:t>внебюджетные средства – 2 383 809,3 тыс. рублей.</w:t>
            </w:r>
          </w:p>
        </w:tc>
      </w:tr>
      <w:tr w:rsidR="006D06B1" w:rsidTr="006D06B1">
        <w:tc>
          <w:tcPr>
            <w:tcW w:w="2718" w:type="dxa"/>
          </w:tcPr>
          <w:p w:rsidR="006D06B1" w:rsidRDefault="006D06B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22" w:type="dxa"/>
          </w:tcPr>
          <w:p w:rsidR="006D06B1" w:rsidRDefault="006D06B1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26" w:type="dxa"/>
          </w:tcPr>
          <w:p w:rsidR="006D06B1" w:rsidRDefault="006D06B1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A02F4B" w:rsidRDefault="00A02F4B"/>
    <w:sectPr w:rsidR="00A02F4B" w:rsidSect="00A02F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0E4" w:rsidRDefault="00FE00E4" w:rsidP="00FE00E4">
      <w:r>
        <w:separator/>
      </w:r>
    </w:p>
  </w:endnote>
  <w:endnote w:type="continuationSeparator" w:id="0">
    <w:p w:rsidR="00FE00E4" w:rsidRDefault="00FE00E4" w:rsidP="00FE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13"/>
      <w:docPartObj>
        <w:docPartGallery w:val="Page Numbers (Bottom of Page)"/>
        <w:docPartUnique/>
      </w:docPartObj>
    </w:sdtPr>
    <w:sdtContent>
      <w:p w:rsidR="00FE00E4" w:rsidRDefault="00FE00E4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00E4" w:rsidRDefault="00FE0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0E4" w:rsidRDefault="00FE00E4" w:rsidP="00FE00E4">
      <w:r>
        <w:separator/>
      </w:r>
    </w:p>
  </w:footnote>
  <w:footnote w:type="continuationSeparator" w:id="0">
    <w:p w:rsidR="00FE00E4" w:rsidRDefault="00FE00E4" w:rsidP="00FE0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6B1"/>
    <w:rsid w:val="00181073"/>
    <w:rsid w:val="00286500"/>
    <w:rsid w:val="003049C4"/>
    <w:rsid w:val="00316534"/>
    <w:rsid w:val="003624D4"/>
    <w:rsid w:val="0038090C"/>
    <w:rsid w:val="00396C4A"/>
    <w:rsid w:val="004959E9"/>
    <w:rsid w:val="004A0D9B"/>
    <w:rsid w:val="006747FC"/>
    <w:rsid w:val="006D06B1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360DC"/>
    <w:rsid w:val="00C51F3E"/>
    <w:rsid w:val="00EB0265"/>
    <w:rsid w:val="00EC76EC"/>
    <w:rsid w:val="00F852F8"/>
    <w:rsid w:val="00FE00E4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азвание2"/>
    <w:basedOn w:val="a"/>
    <w:rsid w:val="006D06B1"/>
    <w:pPr>
      <w:jc w:val="center"/>
    </w:pPr>
    <w:rPr>
      <w:b/>
      <w:szCs w:val="20"/>
    </w:rPr>
  </w:style>
  <w:style w:type="paragraph" w:customStyle="1" w:styleId="ConsPlusNormal">
    <w:name w:val="ConsPlusNormal"/>
    <w:qFormat/>
    <w:rsid w:val="006D06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FE0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00E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unhideWhenUsed/>
    <w:rsid w:val="00FE00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0E4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minfin AO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2022-10-13T05:28:00Z</dcterms:created>
  <dcterms:modified xsi:type="dcterms:W3CDTF">2022-10-13T05:29:00Z</dcterms:modified>
</cp:coreProperties>
</file>