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5A" w:rsidRDefault="00C07F5A" w:rsidP="003D1919">
      <w:pPr>
        <w:framePr w:w="3065" w:h="711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C07F5A" w:rsidRDefault="00C07F5A" w:rsidP="003D1919">
      <w:pPr>
        <w:framePr w:w="3065" w:h="711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пояснительной записке</w:t>
      </w:r>
    </w:p>
    <w:p w:rsidR="00C07F5A" w:rsidRDefault="00C07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7F5A" w:rsidRDefault="00C07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5168"/>
      </w:tblGrid>
      <w:tr w:rsidR="00CF65C2" w:rsidTr="0000699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Предлагаемые изменения </w:t>
            </w:r>
          </w:p>
          <w:p w:rsidR="00C07F5A" w:rsidRDefault="00C07F5A" w:rsidP="003D1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прогнозируемого поступления доходов областного бюджета на 2023 год и на плановый период 2024 и 2025 годов</w:t>
            </w:r>
          </w:p>
        </w:tc>
      </w:tr>
    </w:tbl>
    <w:p w:rsidR="00C07F5A" w:rsidRPr="0000699D" w:rsidRDefault="00C07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064"/>
        <w:gridCol w:w="1354"/>
        <w:gridCol w:w="1136"/>
        <w:gridCol w:w="956"/>
        <w:gridCol w:w="1136"/>
        <w:gridCol w:w="1136"/>
        <w:gridCol w:w="956"/>
        <w:gridCol w:w="1136"/>
        <w:gridCol w:w="1136"/>
        <w:gridCol w:w="956"/>
        <w:gridCol w:w="1136"/>
      </w:tblGrid>
      <w:tr w:rsidR="00CF65C2" w:rsidTr="00C07F5A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доходов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доходов бюджетной классификации Российской Федерации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Сумма с учетом </w:t>
            </w:r>
          </w:p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85 856 878 333,00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85 856 878 333,00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90 796 155 870,00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90 796 155 870,00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96 226 036 625,00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96 226 036 625,00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56 061 685 040,00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56 061 685 040,00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59 965 888 662,00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59 965 888 662,00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65 062 602 810,00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65 062 602 810,00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прибыль 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29 832 856 000,00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29 832 856 000,00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31 885 800 000,00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31 885 800 000,00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35 182 355 000,00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35 182 355 000,00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26 228 829 040,00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26 228 829 040,00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28 080 088 662,00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28 080 088 662,00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29 880 247 810,00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29 880 247 810,00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9 088 468 400,00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9 088 468 400,00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9 674 853 700,00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9 674 853 700,00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9 534 942 600,00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9 534 942 600,00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9 088 468 400,00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9 088 468 400,00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9 674 853 700,00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9 674 853 700,00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9 534 942 600,00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9 534 942 600,00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5 071 712 000,00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5 071 712 000,00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5 324 238 221,00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5 324 238 221,00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5 544 684 796,00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5 544 684 796,00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5 006 012 000,00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5 006 012 000,00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5 255 538 221,00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5 255 538 221,00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5 473 234 796,00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5 473 234 796,00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профессиональный доход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68 700 000,00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68 700 000,00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71 450 000,00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71 450 000,00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 НА ИМУЩЕСТВО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9 690 735 316,00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9 690 735 316,00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9 809 022 409,00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9 809 022 409,00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9 911 320 133,00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9 911 320 133,00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имущество 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1 06 02000 02 0000 110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9 139 000 000,00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9 139 000 000,00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9 255 000 000,00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9 255 000 000,00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9 355 000 000,00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9 355 000 000,00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Транспортный налог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1 06 04000 02 0000 110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550 055 316,00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550 055 316,00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552 342 409,00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552 342 409,00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554 640 133,00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554 640 133,00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игорный бизнес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1 06 05000 02 0000 110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3 858 194 400,00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3 858 194 400,00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3 876 928 300,00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3 876 928 300,00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3 964 369 000,00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3 964 369 000,00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 на добычу полезных ископаемых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1 07 01000 01 0000 110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3 742 403 000,00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3 742 403 000,00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3 792 985 000,00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3 792 985 000,00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3 866 276 000,00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3 866 276 000,00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Регулярные платежи за добычу полезных ископаемых (роялти) при выполнении соглашений о разделе продукции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75 063 000,00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75 063 000,00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46 671 600,00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46 671 600,00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55 062 000,00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55 062 000,00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1 07 04000 01 0000 110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40 728 400,00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40 728 400,00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37 271 700,00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37 271 700,00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43 031 000,00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43 031 000,00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ПОШЛИНА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116 050 886,00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116 050 886,00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111 328 910,00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111 328 910,00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107 972 820,00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107 972 820,00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2 433 910,00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2 433 910,00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2 614 970,00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2 614 970,00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2 869 710,00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2 869 710,00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1 08 07000 01 0000 110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113 616 976,00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113 616 976,00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108 713 940,00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108 713 940,00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105 103 110,00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105 103 110,00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32 941 365,00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32 941 365,00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33 578 692,00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33 578 692,00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33 600 290,00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33 600 290,00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1 11 01000 00 0000 120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8 823 200,00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8 823 200,00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9 138 100,00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9 138 100,00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9 262 200,00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9 262 200,00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размещения средств бюджетов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1 11 03000 00 0000 120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2 304 205,00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2 304 205,00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2 233 076,00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2 233 076,00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2 100 574,00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2 100 574,00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12 375 830,00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12 375 830,00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12 618 840,00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12 618 840,00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12 618 840,00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12 618 840,00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1 11 05300 00 0000 120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64 130,00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64 130,00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66 676,00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66 676,00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66 676,00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66 676,00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1 11 07000 00 0000 120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1 11 09000 00 0000 120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 ПРИ ПОЛЬЗОВАНИИ ПРИРОДНЫМИ РЕСУРСАМИ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1 403 796 786,00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1 403 796 786,00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1 465 499 886,00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1 465 499 886,00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1 534 605 186,00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1 534 605 186,00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 за негативное воздействие на окружающую среду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1 12 01000 01 0000 120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121 142 886,00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121 142 886,00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121 382 886,00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121 382 886,00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121 382 886,00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121 382 886,00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 при пользовании недрами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13 461 000,00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13 461 000,00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13 579 000,00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13 579 000,00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13 501 000,00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 за использование лесов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1 12 04000 00 0000 120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1 269 192 900,00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1 269 192 900,00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1 330 538 000,00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1 330 538 000,00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1 399 721 300,00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1 399 721 300,00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129 243 200,00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129 243 200,00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132 737 500,00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132 737 500,00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133 500 300,00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133 500 300,00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оказания платных услуг (работ)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1 13 01000 00 0000 130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2 880 300,00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2 931 100,00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2 931 100,00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2 982 900,00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1 13 02000 00 0000 130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126 362 900,00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126 362 900,00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129 806 400,00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129 806 400,00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130 517 400,00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130 517 400,00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5 477 900,00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5 477 900,00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3 246 500,00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3 246 500,00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1 14 02000 00 0000 000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5 377 900,00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5 377 900,00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3 146 500,00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3 146 500,00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1 14 06000 00 0000 430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 ПЛАТЕЖИ И СБОРЫ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1 15 07000 01 0000 140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398 521 540,00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398 521 540,00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398 781 590,00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398 781 590,00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398 287 190,00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398 287 190,00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374 863 940,00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374 863 940,00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375 136 940,00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375 136 940,00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374 556 240,00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374 556 240,00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1 16 07000 00 0000 140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12 710 520,00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12 710 520,00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12 693 980,00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12 693 980,00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12 693 980,00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12 693 980,00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 в целях возмещения причиненного ущерба (убытков)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1 16 10000 00 0000 140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437 080,00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437 080,00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440 670,00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440 670,00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526 970,00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526 970,00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Платежи, уплачиваемые в целях возмещения вреда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10 510 000,00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10 510 000,00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10 510 000,00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39 384 061 300,00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1 153 314 379,80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40 537 375 679,80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36 580 903 319,40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37 166 303 319,40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28 198 146 362,00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28 198 146 362,00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33 234 061 300,00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834 927 000,00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34 068 988 300,00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33 177 075 662,00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33 177 075 662,00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28 048 146 362,00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28 048 146 362,00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12 431 823 900,00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12 431 823 900,00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13 338 067 562,00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13 338 067 562,00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13 312 376 562,00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13 312 376 562,00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10 165 065 900,00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11 029 096 501,00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11 029 096 501,00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11 029 096 501,00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11 029 096 501,00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2 114 444 000,00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2 173 617 061,00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2 173 617 061,00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2 173 617 061,00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2 173 617 061,00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152 314 000,00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152 314 000,00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135 354 000,00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135 354 000,00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109 663 000,00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109 663 000,00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15 020 542 900,00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15 020 542 900,00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15 358 256 900,00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15 358 256 900,00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10 206 388 500,00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10 206 388 500,00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2 02 25007 02 0000 150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1 506 888 600,00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1 506 888 600,00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1 623 805 100,00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1 623 805 100,00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1 681 934 200,00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1 681 934 200,00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7 346 000,00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19 461 000,00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19 461 000,00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27 235 000,00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27 235 000,00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3 922 300,00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3 922 300,00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4 453 700,00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4 453 700,00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89 943 400,00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89 943 400,00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89 943 400,00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89 943 400,00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89 162 000,00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89 162 000,00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676 584 300,00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676 584 300,00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425 117 500,00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425 117 500,00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149 604 100,00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149 604 100,00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13 628 400,00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13 628 400,00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15 397 400,00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15 397 400,00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49 757 800,00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49 757 800,00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53 627 400,00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53 627 400,00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2 02 25138 02 0000 150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73 800 000,00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73 800 000,00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72 980 000,00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72 980 000,00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33 410 800,00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33 410 800,00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92 764 000,00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92 764 000,00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161 715 200,00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161 715 200,00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20 876 300,00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20 876 300,00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20 586 500,00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20 586 500,00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108 900 900,00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108 900 900,00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108 900 900,00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108 900 900,00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59 213 900,00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59 213 900,00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140 227 800,00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140 227 800,00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35 991 100,00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35 991 100,00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35 991 100,00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35 991 100,00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35 667 600,00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35 667 600,00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8 787 000,00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8 787 000,00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8 787 000,00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8 787 000,00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8 731 200,00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8 731 200,00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125 317 400,00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125 317 400,00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218 405 400,00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218 405 400,00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7 489 000,00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7 489 000,00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6 637 500,00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6 637 500,00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6 892 800,00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6 892 800,00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448 634 600,00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448 634 600,00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410 515 100,00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410 515 100,00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715 236 200,00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715 236 200,00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479 376 700,00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479 376 700,00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9 357 300,00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9 357 300,00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18 242 800,00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18 242 800,00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включительно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1 237 362 900,00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1 237 362 900,00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694 807 500,00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694 807 500,00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695 902 100,00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695 902 100,00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669 858 500,00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669 858 500,00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94 560 100,00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94 560 100,00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843 771 200,00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843 771 200,00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2 02 25341 02 0000 150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2 02 25365 02 0000 150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1 115 236 300,00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1 115 236 300,00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1 115 236 300,00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1 115 236 300,00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1 672 854 400,00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1 672 854 400,00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31 715 400,00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31 715 400,00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102 583 900,00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102 583 900,00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скрининг)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2 02 25385 02 0000 150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18 573 900,00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18 573 900,00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18 453 100,00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18 453 100,00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18 203 500,00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18 203 500,00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2 02 25394 02 0000 150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2 822 661 300,00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2 822 661 300,00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4 308 322 200,00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4 308 322 200,00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3 879 582 300,00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3 879 582 300,00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60 674 600,00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60 674 600,00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60 674 600,00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60 674 600,00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60 330 000,00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60 330 000,00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310 834 500,00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"Регион добрых дел"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9 432 700,00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9 432 700,00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31 126 300,00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31 126 300,00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27 399 200,00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27 399 200,00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реновацию учреждений отрасли 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113 615 900,00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113 615 900,00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21 199 100,00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21 199 100,00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33 075 000,00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33 075 000,00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12 176 900,00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12 176 900,00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12 408 800,00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12 408 800,00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6 009 200,00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13 300 500,00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13 300 500,00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13 300 500,00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13 300 500,00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13 090 600,00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13 090 600,00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2 02 25478 02 0000 150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61 024 500,00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61 024 500,00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43 409 300,00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43 409 300,00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41 507 100,00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41 507 100,00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128 968 700,00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65 440 300,00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6 903 400,00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6 903 400,00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63 279 000,00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63 279 000,00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43 642 000,00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43 642 000,00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59 379 300,00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59 379 300,00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22 129 200,00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22 129 200,00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15 913 200,00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15 913 200,00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13 727 900,00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13 727 900,00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7 843 900,00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7 843 900,00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6 318 800,00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6 318 800,00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8 232 500,00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8 232 500,00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бюджетам субъектов Российской Федерации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5 605 300,00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5 605 300,00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185 402 500,00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185 402 500,00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23 490 700,00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23 490 700,00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4 673 300,00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4 673 300,00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636 980 400,00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636 980 400,00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258 047 100,00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258 047 100,00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113 838 000,00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113 838 000,00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72 665 800,00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72 665 800,00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80 736 100,00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80 736 100,00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78 793 900,00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78 793 900,00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304 956 400,00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304 956 400,00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333 651 500,00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333 651 500,00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567 714 400,00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-291 166 400,00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276 548 000,00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246 333 900,00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-207 883 100,00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38 450 800,00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региональных и муниципальных 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23 893 700,00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23 893 700,00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8 860 700,00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8 860 700,00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92 422 800,00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28 475 000,00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28 475 000,00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30 150 000,00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30 150 000,00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37 847 500,00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37 847 500,00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8 883 400,00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8 883 400,00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48 381 700,00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48 381 700,00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57 802 500,00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57 802 500,00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774 130 700,00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774 130 700,00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510 322 200,00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510 322 200,00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510 322 200,00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510 322 200,00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67 100 000,00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67 100 000,00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116 816 700,00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116 816 700,00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115 521 800,00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115 521 800,00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139 754 400,00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139 754 400,00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139 754 400,00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139 754 400,00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140 658 700,00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140 658 700,00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25 174 200,00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25 174 200,00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11 052 700,00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11 052 700,00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субъектов Российской Федерации на обеспечение сокращения количества твердых коммунальных отходов, направленных на захоронение в субъектах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520 063 500,00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520 063 500,00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272 201 700,00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272 201 700,00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2 02 27139 02 0000 150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211 472 200,00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211 472 200,00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2 02 27389 02 0000 150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291 166 400,00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291 166 400,00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207 883 100,00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207 883 100,00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3 060 458 500,00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3 060 458 500,00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3 282 086 700,00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3 282 086 700,00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3 330 716 800,00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3 330 716 800,00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49 991 300,00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49 991 300,00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9 685 500,00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9 685 500,00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9 659 900,00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9 659 900,00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9 659 900,00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9 659 900,00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563 532 300,00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563 532 300,00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657 321 800,00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657 321 800,00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662 081 900,00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662 081 900,00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3 351 900,00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3 632 400,00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3 632 400,00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15 494 400,00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15 494 400,00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15 709 800,00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15 709 800,00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15 817 800,00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15 817 800,00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ноября 1995 года № 181-ФЗ "О социальной защите инвалидов в Российской Федерации"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2 02 35176 02 0000 150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32 110 100,00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32 110 100,00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35 612 900,00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35 612 900,00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35 729 700,00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35 729 700,00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147 237 100,00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147 237 100,00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153 126 900,00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153 126 900,00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159 248 900,00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159 248 900,00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714 017 800,00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714 017 800,00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713 921 400,00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713 921 400,00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713 886 800,00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713 886 800,00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583 601 000,00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583 601 000,00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628 242 500,00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628 242 500,00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632 240 700,00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632 240 700,00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2 02 35345 02 0000 150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337 606 200,00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лесовосстановления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39 247 900,00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39 247 900,00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46 795 900,00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46 795 900,00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46 721 400,00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46 721 400,00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2 02 35432 02 0000 150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9 770 100,00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9 770 100,00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41 195 500,00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41 195 500,00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53 335 200,00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53 335 200,00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2 02 35460 02 0000 150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431 863 100,00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431 863 100,00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458 300 000,00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458 300 000,00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473 135 200,00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473 135 200,00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Байконура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2 02 35900 02 0000 150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126 648 700,00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126 648 700,00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132 650 000,00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132 650 000,00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137 434 600,00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137 434 600,00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2 721 236 000,00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834 927 000,00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3 556 163 000,00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1 198 664 500,00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1 198 664 500,00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1 198 664 500,00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1 198 664 500,00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2 02 45161 02 0000 150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128 459 600,00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25 408 300,00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25 408 300,00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83 808 000,00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83 808 000,00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наследственным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дефицитом факторов 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), а также после трансплантации органов и (или) тканей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2 02 45216 02 0000 150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3 878 600,00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3 878 600,00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10 238 500,00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10 238 500,00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21 961 900,00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21 961 900,00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33 751 300,00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33 751 300,00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933 181 700,00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933 181 700,00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945 167 200,00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945 167 200,00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945 167 200,00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945 167 200,00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2 02 45363 02 0000 150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123 051 700,00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123 051 700,00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124 226 900,00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124 226 900,00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124 226 900,00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124 226 900,00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развитие инфраструктуры дорожного хозяйства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1 184 531 800,00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1 184 531 800,00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47 645 200,00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47 645 200,00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2 02 45424 02 0000 150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обслуживания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2 02 45468 02 0000 150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332 400,00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374 600,00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2 02 45784 02 0000 150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834 927 000,00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834 927 000,00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3 253 827 657,40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3 839 227 657,40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3 253 827 657,40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3 839 227 657,40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3 253 827 657,40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3 253 827 657,40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модернизации систем коммунальной инфраструктуры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175 600 000,00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156 166 686,38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156 166 686,38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156 166 686,38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156 166 686,38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2 19 00000 00 0000 000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-13 379 306,58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-13 379 306,58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2 19 00000 02 0000 150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-13 379 306,58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-13 379 306,58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3209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093" w:rsidRDefault="0093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F65C2" w:rsidTr="00C07F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доходов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125 240 939 633,00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1 153 314 379,80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126 394 254 012,80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127 377 059 189,40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127 962 459 189,40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124 424 182 987,00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7F5A" w:rsidRDefault="00C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124 424 182 987,00</w:t>
            </w:r>
          </w:p>
        </w:tc>
      </w:tr>
    </w:tbl>
    <w:p w:rsidR="00C07F5A" w:rsidRPr="0000699D" w:rsidRDefault="00C07F5A" w:rsidP="00006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C07F5A" w:rsidRPr="0000699D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5A" w:rsidRDefault="00C07F5A">
      <w:pPr>
        <w:spacing w:after="0" w:line="240" w:lineRule="auto"/>
      </w:pPr>
      <w:r>
        <w:separator/>
      </w:r>
    </w:p>
  </w:endnote>
  <w:endnote w:type="continuationSeparator" w:id="0">
    <w:p w:rsidR="00C07F5A" w:rsidRDefault="00C0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5A" w:rsidRDefault="00C07F5A">
    <w:pPr>
      <w:framePr w:w="15124" w:h="285" w:wrap="auto" w:hAnchor="text" w:x="305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32093">
      <w:rPr>
        <w:rFonts w:ascii="Times New Roman" w:hAnsi="Times New Roman" w:cs="Times New Roman"/>
        <w:noProof/>
        <w:color w:val="000000"/>
        <w:sz w:val="20"/>
        <w:szCs w:val="20"/>
      </w:rPr>
      <w:t>11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5A" w:rsidRDefault="00C07F5A">
      <w:pPr>
        <w:spacing w:after="0" w:line="240" w:lineRule="auto"/>
      </w:pPr>
      <w:r>
        <w:separator/>
      </w:r>
    </w:p>
  </w:footnote>
  <w:footnote w:type="continuationSeparator" w:id="0">
    <w:p w:rsidR="00C07F5A" w:rsidRDefault="00C07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5C2"/>
    <w:rsid w:val="0000699D"/>
    <w:rsid w:val="003D1919"/>
    <w:rsid w:val="00932093"/>
    <w:rsid w:val="00C07F5A"/>
    <w:rsid w:val="00C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7752</Words>
  <Characters>42436</Characters>
  <Application>Microsoft Office Word</Application>
  <DocSecurity>0</DocSecurity>
  <Lines>353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Р°С„Р°РЅР°СЃСЊРµРІ 02.02.2023 12:45:06</dc:subject>
  <dc:creator>Keysystems.DWH.ReportDesigner</dc:creator>
  <cp:lastModifiedBy>minfin user</cp:lastModifiedBy>
  <cp:revision>5</cp:revision>
  <cp:lastPrinted>2023-03-02T14:01:00Z</cp:lastPrinted>
  <dcterms:created xsi:type="dcterms:W3CDTF">2023-03-02T13:58:00Z</dcterms:created>
  <dcterms:modified xsi:type="dcterms:W3CDTF">2023-03-02T14:19:00Z</dcterms:modified>
</cp:coreProperties>
</file>