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98" w:rsidRDefault="00640DF2">
      <w:pPr>
        <w:pStyle w:val="ConsPlusNormal"/>
        <w:jc w:val="both"/>
      </w:pPr>
      <w:r>
        <w:t>Без лингвистической правки</w:t>
      </w:r>
    </w:p>
    <w:p w:rsidR="005525B4" w:rsidRPr="00700C98" w:rsidRDefault="005525B4" w:rsidP="005525B4">
      <w:pPr>
        <w:pStyle w:val="a7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УТВЕРЖДЕНЫ</w:t>
      </w:r>
    </w:p>
    <w:p w:rsidR="005525B4" w:rsidRPr="00700C98" w:rsidRDefault="005525B4" w:rsidP="005525B4">
      <w:pPr>
        <w:pStyle w:val="a7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постановлением Правительства</w:t>
      </w:r>
    </w:p>
    <w:p w:rsidR="0030603F" w:rsidRDefault="005525B4" w:rsidP="005525B4">
      <w:pPr>
        <w:pStyle w:val="a7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Архангельской области</w:t>
      </w:r>
      <w:r w:rsidR="0030603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="0030603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</w:t>
      </w:r>
      <w:proofErr w:type="gramEnd"/>
      <w:r w:rsidR="0030603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5525B4" w:rsidRPr="00700C98" w:rsidRDefault="0030603F" w:rsidP="005525B4">
      <w:pPr>
        <w:pStyle w:val="a7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«09» октября 2023 г. № 980-пп</w:t>
      </w:r>
    </w:p>
    <w:p w:rsidR="005525B4" w:rsidRDefault="005525B4" w:rsidP="005525B4">
      <w:pPr>
        <w:pStyle w:val="a7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30603F" w:rsidRPr="00700C98" w:rsidRDefault="0030603F" w:rsidP="005525B4">
      <w:pPr>
        <w:pStyle w:val="a7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5525B4" w:rsidRPr="00700C98" w:rsidRDefault="005525B4" w:rsidP="004E1915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С Т </w:t>
      </w:r>
      <w:proofErr w:type="gramStart"/>
      <w:r w:rsidRPr="00700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Р</w:t>
      </w:r>
      <w:proofErr w:type="gramEnd"/>
      <w:r w:rsidRPr="00700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А Т Е Г И Ч Е С К И Е    П Р И О Р И Т Е Т Ы</w:t>
      </w:r>
    </w:p>
    <w:p w:rsidR="0030603F" w:rsidRDefault="005525B4" w:rsidP="004E1915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государственной программы Архангельской области</w:t>
      </w:r>
    </w:p>
    <w:p w:rsidR="005525B4" w:rsidRPr="00700C98" w:rsidRDefault="005525B4" w:rsidP="004E1915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5E0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«</w:t>
      </w:r>
      <w:r w:rsidRPr="00700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Развитие образования и науки Архангельской области</w:t>
      </w:r>
      <w:r w:rsidR="005E0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»</w:t>
      </w:r>
    </w:p>
    <w:p w:rsidR="005525B4" w:rsidRPr="00700C98" w:rsidRDefault="005525B4" w:rsidP="005525B4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Современная государственная политика в сфере образования направлена</w:t>
      </w:r>
      <w:r w:rsidR="00DD4D94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на модернизацию российского образования. Главное - обеспечить конкурентоспособность России, в том числе в сфере образования. Основным условием конкурентоспособности страны является инновационный путь развития экономики. В свою очередь, развитие экономики невозможно без инвестиций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в человека, в образование.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Одна из главных задач модернизации образования - повышение качества образования. Качество образования признается как </w:t>
      </w:r>
      <w:proofErr w:type="spellStart"/>
      <w:r w:rsidRPr="00700C98">
        <w:rPr>
          <w:rFonts w:ascii="Times New Roman" w:eastAsia="Times New Roman" w:hAnsi="Times New Roman" w:cs="Times New Roman"/>
          <w:sz w:val="28"/>
          <w:szCs w:val="28"/>
        </w:rPr>
        <w:t>многоаспектная</w:t>
      </w:r>
      <w:proofErr w:type="spellEnd"/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 категория, интегральная характеристика системы образования, комплексный показатель, синтезирующий все этапы обучения, развития и становления личности, условия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и результаты учебно-воспитательного процесса – это критерий эффективности деятельности образовательной организации, основным результатом работы которой являются качественно подготовленные выпускники. Переход на инновационный путь развития связан с масштабными инвестициями в человеческий капитал.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В современном социуме, где знания, уровень интеллектуального развития его членов становится ключевым стратегическим ресурсом, определяющим фактором развития экономики и становления новых общественных отношений, значительно повышается статус образования, формируются новые требования к его уровню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и качеству. Образование сегодня, как никогда ранее, должно быть направлено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не на обеспечение процесса, а на достижение современных образовательных результатов, в том числе экономических и социальных.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подготовлена с учетом целей и задач, представленных в следующих правовых актах Российской Федерации: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Стратегия пространственного развития Российской Федерации на период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до 2025 года, утвержденная распоряжением Правительства Российской Федерации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от 13 февраля 2019 года № 207-р;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Стратегия экономической безопасности Российской Федерации на период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до 2030 года, </w:t>
      </w:r>
      <w:proofErr w:type="gramStart"/>
      <w:r w:rsidRPr="00700C98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Российской Федерации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от 13 мая 2017 года № 208;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Российской Федерации на период до 2036 года;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Основы государственной политики регионального развития Российской Федерации на период до 2025 года, утвержденные Указом Президента Российской Федерации от 16 января 2017 года № 13;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направления деятельности Правительства Российской Федерации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на период до 2024 года, утвержденные Председателем Правительства Российской Федерации от 29 сентября 2018 года № 8028п-П13;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Стратегия научно-технологического развития Российской Федерации, утвержденная Указом Президента Российской Федерации от 1 декабря 2016 года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№ 642;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Стратегия национальной безопасности Российской Федерации, утвержденной Указом Президента Российской Федерации от 2 июля 2021 года № 400;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года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№ 2765-р;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Российской Федерации </w:t>
      </w:r>
      <w:r w:rsidR="005E0D1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Развитие образования</w:t>
      </w:r>
      <w:r w:rsidR="005E0D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, утвержденная постановлением Правительства Российской Федерации от 26 декабря 2017 года № 1642 (далее – государственная программа Российской Федерации </w:t>
      </w:r>
      <w:r w:rsidR="005E0D1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Развитие образования</w:t>
      </w:r>
      <w:r w:rsidR="005E0D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Приоритетные направления государственной политики в сфере образования Архангельской области (далее – сфера образования) определены следующими правовыми актами Архангельской области: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Архангельской области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>до 2035 года, утвержденная областным законом от 18 февраля 2019 года</w:t>
      </w:r>
      <w:r w:rsidRPr="00700C98">
        <w:rPr>
          <w:rFonts w:ascii="Times New Roman" w:eastAsia="Times New Roman" w:hAnsi="Times New Roman" w:cs="Times New Roman"/>
          <w:sz w:val="28"/>
          <w:szCs w:val="28"/>
        </w:rPr>
        <w:br/>
        <w:t>№ 57-5-ОЗ.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государственной политики в сфере образования относятся: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доступности и качества общего и дополнительного образования детей;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соответствия образовательных результатов меняющимся запросам населения, а также перспективным задачам социально-экономического развития;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обеспечение потребностей экономики Архангельской области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в квалифицированных кадрах со средним профессиональным образованием;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предоставления качественных услуг в сфере образования;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сообщества, через вовлечение их как в развитие системы образования и управление образовательным процессом, так и непосредственно в образовательную деятельность;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развития научного потенциала посредством научного сопровождения основных направлений социально-экономического развития Архангельской области;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адресная поддержка работ, осуществляемых исследователями и научными коллективами, способными на выполнение научных исследований, проводимых</w:t>
      </w:r>
      <w:r w:rsidR="000238D5">
        <w:rPr>
          <w:rFonts w:ascii="Times New Roman" w:eastAsia="Times New Roman" w:hAnsi="Times New Roman" w:cs="Times New Roman"/>
          <w:sz w:val="28"/>
          <w:szCs w:val="28"/>
        </w:rPr>
        <w:br/>
      </w:r>
      <w:r w:rsidRPr="00700C98">
        <w:rPr>
          <w:rFonts w:ascii="Times New Roman" w:eastAsia="Times New Roman" w:hAnsi="Times New Roman" w:cs="Times New Roman"/>
          <w:sz w:val="28"/>
          <w:szCs w:val="28"/>
        </w:rPr>
        <w:t xml:space="preserve">в интересах Архангельской области; </w:t>
      </w:r>
    </w:p>
    <w:p w:rsidR="005525B4" w:rsidRPr="00700C98" w:rsidRDefault="005525B4" w:rsidP="00C90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sz w:val="28"/>
          <w:szCs w:val="28"/>
        </w:rPr>
        <w:t>обеспечение государственных гарантий доступности общего и дополнительного образования детей посредством строительства и капитального ремонта объектов инфраструктуры системы образования в Архангельской области.</w:t>
      </w:r>
    </w:p>
    <w:p w:rsidR="005525B4" w:rsidRDefault="005525B4">
      <w:pPr>
        <w:pStyle w:val="ConsPlusNormal"/>
        <w:jc w:val="both"/>
        <w:sectPr w:rsidR="005525B4" w:rsidSect="005525B4">
          <w:footerReference w:type="default" r:id="rId7"/>
          <w:pgSz w:w="11906" w:h="16838"/>
          <w:pgMar w:top="851" w:right="566" w:bottom="1440" w:left="1133" w:header="426" w:footer="0" w:gutter="0"/>
          <w:cols w:space="720"/>
          <w:noEndnote/>
        </w:sectPr>
      </w:pPr>
    </w:p>
    <w:p w:rsidR="005525B4" w:rsidRPr="00700C98" w:rsidRDefault="005525B4" w:rsidP="005525B4">
      <w:pPr>
        <w:pStyle w:val="a7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5525B4" w:rsidRPr="00700C98" w:rsidRDefault="005525B4" w:rsidP="005525B4">
      <w:pPr>
        <w:pStyle w:val="a7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УТВЕРЖДЕН</w:t>
      </w:r>
    </w:p>
    <w:p w:rsidR="005525B4" w:rsidRPr="00700C98" w:rsidRDefault="005525B4" w:rsidP="005525B4">
      <w:pPr>
        <w:pStyle w:val="a7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постановлением Правительства</w:t>
      </w:r>
    </w:p>
    <w:p w:rsidR="005525B4" w:rsidRPr="00700C98" w:rsidRDefault="005525B4" w:rsidP="005525B4">
      <w:pPr>
        <w:pStyle w:val="a7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Архангельской области</w:t>
      </w:r>
    </w:p>
    <w:p w:rsidR="005525B4" w:rsidRPr="00700C98" w:rsidRDefault="005525B4" w:rsidP="005525B4">
      <w:pPr>
        <w:pStyle w:val="a7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от </w:t>
      </w:r>
      <w:r w:rsidR="005E0D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4E19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09 </w:t>
      </w:r>
      <w:r w:rsidR="005E0D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Pr="00700C9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4E19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октября № 980-пп</w:t>
      </w:r>
    </w:p>
    <w:p w:rsidR="005525B4" w:rsidRPr="00700C98" w:rsidRDefault="005525B4" w:rsidP="005525B4">
      <w:pPr>
        <w:pStyle w:val="a7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5525B4" w:rsidRPr="00700C98" w:rsidRDefault="005525B4" w:rsidP="005525B4">
      <w:pPr>
        <w:pStyle w:val="a7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5525B4" w:rsidRPr="00700C98" w:rsidRDefault="005525B4" w:rsidP="005525B4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proofErr w:type="gramStart"/>
      <w:r w:rsidRPr="00700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</w:t>
      </w:r>
      <w:proofErr w:type="gramEnd"/>
      <w:r w:rsidRPr="00700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А С П О Р Т </w:t>
      </w:r>
    </w:p>
    <w:p w:rsidR="005525B4" w:rsidRPr="00700C98" w:rsidRDefault="005525B4" w:rsidP="005525B4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00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государственной программы </w:t>
      </w:r>
      <w:r w:rsidRPr="0070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Архангельской области </w:t>
      </w:r>
      <w:r w:rsidR="005E0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«</w:t>
      </w:r>
      <w:r w:rsidRPr="0070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Развитие образования и науки Архангельской области</w:t>
      </w:r>
      <w:r w:rsidR="005E0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»</w:t>
      </w:r>
    </w:p>
    <w:p w:rsidR="005525B4" w:rsidRPr="00700C98" w:rsidRDefault="005525B4" w:rsidP="005525B4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</w:pPr>
    </w:p>
    <w:p w:rsidR="005525B4" w:rsidRPr="00700C98" w:rsidRDefault="005525B4" w:rsidP="005525B4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</w:pPr>
      <w:r w:rsidRPr="00700C98"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t>1. Основные положения</w:t>
      </w: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850"/>
        <w:gridCol w:w="8844"/>
      </w:tblGrid>
      <w:tr w:rsidR="005525B4" w:rsidRPr="00700C98" w:rsidTr="00BC484E">
        <w:tc>
          <w:tcPr>
            <w:tcW w:w="5797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8763" w:type="dxa"/>
            <w:tcMar>
              <w:top w:w="102" w:type="dxa"/>
              <w:bottom w:w="102" w:type="dxa"/>
            </w:tcMar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Заместитель Председателя Правительства Архангельской области, курирующий министерство образования Архангельской области</w:t>
            </w:r>
          </w:p>
        </w:tc>
      </w:tr>
      <w:tr w:rsidR="005525B4" w:rsidRPr="00700C98" w:rsidTr="00BC484E">
        <w:trPr>
          <w:trHeight w:val="515"/>
        </w:trPr>
        <w:tc>
          <w:tcPr>
            <w:tcW w:w="5797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8763" w:type="dxa"/>
            <w:tcMar>
              <w:top w:w="102" w:type="dxa"/>
              <w:bottom w:w="102" w:type="dxa"/>
            </w:tcMar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министерство образования Архангельской области</w:t>
            </w: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(далее – министерство образования)</w:t>
            </w:r>
          </w:p>
        </w:tc>
      </w:tr>
      <w:tr w:rsidR="005525B4" w:rsidRPr="00700C98" w:rsidTr="00BC484E">
        <w:trPr>
          <w:trHeight w:val="262"/>
        </w:trPr>
        <w:tc>
          <w:tcPr>
            <w:tcW w:w="5797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8763" w:type="dxa"/>
            <w:tcMar>
              <w:top w:w="102" w:type="dxa"/>
              <w:bottom w:w="102" w:type="dxa"/>
            </w:tcMar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 – 2026</w:t>
            </w:r>
            <w:r w:rsidRPr="00700C9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годы</w:t>
            </w:r>
          </w:p>
        </w:tc>
      </w:tr>
      <w:tr w:rsidR="005525B4" w:rsidRPr="00700C98" w:rsidTr="00BC484E">
        <w:trPr>
          <w:trHeight w:val="570"/>
        </w:trPr>
        <w:tc>
          <w:tcPr>
            <w:tcW w:w="5797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Цели государственной программы</w:t>
            </w:r>
          </w:p>
        </w:tc>
        <w:tc>
          <w:tcPr>
            <w:tcW w:w="8763" w:type="dxa"/>
            <w:tcMar>
              <w:top w:w="102" w:type="dxa"/>
              <w:bottom w:w="102" w:type="dxa"/>
            </w:tcMar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повышение доступности, качества и эффективности образования в Архангельской области с учетом запросов личности, общества и государства</w:t>
            </w:r>
          </w:p>
        </w:tc>
      </w:tr>
      <w:tr w:rsidR="005525B4" w:rsidRPr="00700C98" w:rsidTr="00BC484E">
        <w:tc>
          <w:tcPr>
            <w:tcW w:w="5797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8763" w:type="dxa"/>
            <w:tcMar>
              <w:top w:w="102" w:type="dxa"/>
              <w:bottom w:w="102" w:type="dxa"/>
            </w:tcMar>
            <w:vAlign w:val="center"/>
          </w:tcPr>
          <w:p w:rsidR="005525B4" w:rsidRPr="00700C98" w:rsidRDefault="005525B4" w:rsidP="00BC4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00C9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общий объем финансирования государственной программы составляет 104 202 274,7 тыс. рублей,</w:t>
            </w:r>
          </w:p>
          <w:p w:rsidR="005525B4" w:rsidRPr="00700C98" w:rsidRDefault="005525B4" w:rsidP="00BC4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00C9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объем финансового обеспечения по годам и источникам финансового обеспечения представлен в разделе 4 паспорта государственной программы</w:t>
            </w:r>
          </w:p>
        </w:tc>
      </w:tr>
      <w:tr w:rsidR="005525B4" w:rsidRPr="00700C98" w:rsidTr="00BC484E">
        <w:tc>
          <w:tcPr>
            <w:tcW w:w="5797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Связь с национальными целями развития Российской Федерации / государственной программой Российской Федерации</w:t>
            </w:r>
          </w:p>
        </w:tc>
        <w:tc>
          <w:tcPr>
            <w:tcW w:w="8763" w:type="dxa"/>
            <w:tcMar>
              <w:top w:w="102" w:type="dxa"/>
              <w:bottom w:w="102" w:type="dxa"/>
            </w:tcMar>
            <w:vAlign w:val="center"/>
          </w:tcPr>
          <w:p w:rsidR="005525B4" w:rsidRPr="00700C98" w:rsidRDefault="005525B4" w:rsidP="00BC484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trike/>
                <w:color w:val="212121"/>
                <w:sz w:val="24"/>
                <w:szCs w:val="24"/>
              </w:rPr>
            </w:pPr>
            <w:r w:rsidRPr="00700C9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Национальная цель: возможности для самореализации и развития талантов / государственная программа Российской Федерации </w:t>
            </w:r>
            <w:r w:rsidR="005E0D1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r w:rsidRPr="00700C9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Развитие образования</w:t>
            </w:r>
            <w:r w:rsidR="005E0D1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»</w:t>
            </w:r>
            <w:r w:rsidRPr="00700C9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;</w:t>
            </w:r>
          </w:p>
        </w:tc>
      </w:tr>
    </w:tbl>
    <w:p w:rsidR="005525B4" w:rsidRDefault="005525B4" w:rsidP="005525B4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sectPr w:rsidR="005525B4" w:rsidSect="00334871">
          <w:pgSz w:w="16838" w:h="11905" w:orient="landscape"/>
          <w:pgMar w:top="993" w:right="1134" w:bottom="850" w:left="1134" w:header="568" w:footer="0" w:gutter="0"/>
          <w:cols w:space="720"/>
          <w:noEndnote/>
          <w:titlePg/>
          <w:docGrid w:linePitch="299"/>
        </w:sectPr>
      </w:pPr>
    </w:p>
    <w:p w:rsidR="005525B4" w:rsidRPr="00700C98" w:rsidRDefault="005525B4" w:rsidP="005525B4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</w:pPr>
      <w:r w:rsidRPr="00700C98"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lastRenderedPageBreak/>
        <w:t>2. Показатели государственной программы</w:t>
      </w:r>
    </w:p>
    <w:p w:rsidR="005525B4" w:rsidRPr="00700C98" w:rsidRDefault="005525B4" w:rsidP="005525B4">
      <w:pPr>
        <w:spacing w:after="0" w:line="240" w:lineRule="auto"/>
        <w:rPr>
          <w:sz w:val="2"/>
          <w:szCs w:val="2"/>
        </w:rPr>
      </w:pPr>
    </w:p>
    <w:tbl>
      <w:tblPr>
        <w:tblStyle w:val="a8"/>
        <w:tblW w:w="14961" w:type="dxa"/>
        <w:tblLook w:val="04A0"/>
      </w:tblPr>
      <w:tblGrid>
        <w:gridCol w:w="458"/>
        <w:gridCol w:w="2408"/>
        <w:gridCol w:w="1500"/>
        <w:gridCol w:w="1025"/>
        <w:gridCol w:w="912"/>
        <w:gridCol w:w="616"/>
        <w:gridCol w:w="652"/>
        <w:gridCol w:w="608"/>
        <w:gridCol w:w="608"/>
        <w:gridCol w:w="1422"/>
        <w:gridCol w:w="1352"/>
        <w:gridCol w:w="1874"/>
        <w:gridCol w:w="1526"/>
      </w:tblGrid>
      <w:tr w:rsidR="005525B4" w:rsidRPr="00700C98" w:rsidTr="00BC484E">
        <w:trPr>
          <w:tblHeader/>
        </w:trPr>
        <w:tc>
          <w:tcPr>
            <w:tcW w:w="458" w:type="dxa"/>
            <w:vMerge w:val="restart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/</w:t>
            </w:r>
            <w:proofErr w:type="spell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500" w:type="dxa"/>
            <w:vMerge w:val="restart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Признак возрастания / убывания</w:t>
            </w:r>
          </w:p>
        </w:tc>
        <w:tc>
          <w:tcPr>
            <w:tcW w:w="1025" w:type="dxa"/>
            <w:vMerge w:val="restart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1528" w:type="dxa"/>
            <w:gridSpan w:val="2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Базовое значение</w:t>
            </w:r>
          </w:p>
        </w:tc>
        <w:tc>
          <w:tcPr>
            <w:tcW w:w="1868" w:type="dxa"/>
            <w:gridSpan w:val="3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Значение показателя по годам</w:t>
            </w:r>
          </w:p>
        </w:tc>
        <w:tc>
          <w:tcPr>
            <w:tcW w:w="1422" w:type="dxa"/>
            <w:vMerge w:val="restart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352" w:type="dxa"/>
            <w:vMerge w:val="restart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Ответственный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за достижение показателя</w:t>
            </w:r>
          </w:p>
        </w:tc>
        <w:tc>
          <w:tcPr>
            <w:tcW w:w="1874" w:type="dxa"/>
            <w:vMerge w:val="restart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1526" w:type="dxa"/>
            <w:vMerge w:val="restart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Информационная система</w:t>
            </w:r>
          </w:p>
        </w:tc>
      </w:tr>
      <w:tr w:rsidR="005525B4" w:rsidRPr="00700C98" w:rsidTr="00BC484E">
        <w:trPr>
          <w:tblHeader/>
        </w:trPr>
        <w:tc>
          <w:tcPr>
            <w:tcW w:w="458" w:type="dxa"/>
            <w:vMerge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08" w:type="dxa"/>
            <w:vMerge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vMerge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vMerge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12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616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652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608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608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1422" w:type="dxa"/>
            <w:vMerge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2" w:type="dxa"/>
            <w:vMerge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74" w:type="dxa"/>
            <w:vMerge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26" w:type="dxa"/>
            <w:vMerge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5525B4" w:rsidRPr="00700C98" w:rsidTr="00BC484E">
        <w:trPr>
          <w:tblHeader/>
        </w:trPr>
        <w:tc>
          <w:tcPr>
            <w:tcW w:w="458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8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00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25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12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6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52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08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08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22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52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74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26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13</w:t>
            </w:r>
          </w:p>
        </w:tc>
      </w:tr>
      <w:tr w:rsidR="005525B4" w:rsidRPr="00700C98" w:rsidTr="00BC484E">
        <w:tc>
          <w:tcPr>
            <w:tcW w:w="458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8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Доля выпускников,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</w:t>
            </w:r>
          </w:p>
        </w:tc>
        <w:tc>
          <w:tcPr>
            <w:tcW w:w="1500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1025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12" w:type="dxa"/>
            <w:vAlign w:val="center"/>
          </w:tcPr>
          <w:p w:rsidR="005525B4" w:rsidRPr="00700C98" w:rsidRDefault="005525B4" w:rsidP="00BC484E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616" w:type="dxa"/>
            <w:vAlign w:val="center"/>
          </w:tcPr>
          <w:p w:rsidR="005525B4" w:rsidRPr="00700C98" w:rsidRDefault="005525B4" w:rsidP="00BC484E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652" w:type="dxa"/>
            <w:vAlign w:val="center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608" w:type="dxa"/>
            <w:vAlign w:val="center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608" w:type="dxa"/>
            <w:vAlign w:val="center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1422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государственная программа Российской Федерации </w:t>
            </w:r>
            <w:r w:rsidR="005E0D15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«</w:t>
            </w: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Развитие образования</w:t>
            </w:r>
            <w:r w:rsidR="005E0D15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352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министерство образования</w:t>
            </w:r>
          </w:p>
        </w:tc>
        <w:tc>
          <w:tcPr>
            <w:tcW w:w="187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</w:rPr>
              <w:t>вхождение Российской Федерации в число 10 ведущих стран мира по качеству общего образования</w:t>
            </w:r>
          </w:p>
        </w:tc>
        <w:tc>
          <w:tcPr>
            <w:tcW w:w="1526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trike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trike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  <w:tr w:rsidR="005525B4" w:rsidRPr="00700C98" w:rsidTr="00BC484E">
        <w:tc>
          <w:tcPr>
            <w:tcW w:w="458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08" w:type="dxa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общего и дополнительного образования детей Архангельской области</w:t>
            </w:r>
          </w:p>
        </w:tc>
        <w:tc>
          <w:tcPr>
            <w:tcW w:w="1500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1025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12" w:type="dxa"/>
          </w:tcPr>
          <w:p w:rsidR="005525B4" w:rsidRPr="00700C98" w:rsidRDefault="005525B4" w:rsidP="00BC4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616" w:type="dxa"/>
          </w:tcPr>
          <w:p w:rsidR="005525B4" w:rsidRPr="00700C98" w:rsidRDefault="005525B4" w:rsidP="00BC4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52" w:type="dxa"/>
          </w:tcPr>
          <w:p w:rsidR="005525B4" w:rsidRPr="00700C98" w:rsidRDefault="005525B4" w:rsidP="00BC48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08" w:type="dxa"/>
          </w:tcPr>
          <w:p w:rsidR="005525B4" w:rsidRPr="00700C98" w:rsidRDefault="005525B4" w:rsidP="00BC48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608" w:type="dxa"/>
          </w:tcPr>
          <w:p w:rsidR="005525B4" w:rsidRPr="00700C98" w:rsidRDefault="005525B4" w:rsidP="00BC48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422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trike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trike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52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министерство образования</w:t>
            </w:r>
          </w:p>
        </w:tc>
        <w:tc>
          <w:tcPr>
            <w:tcW w:w="1874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trike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</w:rPr>
              <w:t>вхождение Российской Федерации в число 10 ведущих стран мира по качеству общего образования</w:t>
            </w:r>
          </w:p>
        </w:tc>
        <w:tc>
          <w:tcPr>
            <w:tcW w:w="1526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trike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trike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  <w:tr w:rsidR="005525B4" w:rsidRPr="00700C98" w:rsidTr="00BC484E">
        <w:tc>
          <w:tcPr>
            <w:tcW w:w="458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8" w:type="dxa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00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1025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bCs/>
                <w:spacing w:val="-14"/>
                <w:sz w:val="20"/>
                <w:szCs w:val="20"/>
                <w:lang w:eastAsia="zh-CN"/>
              </w:rPr>
              <w:t>условная единица</w:t>
            </w:r>
          </w:p>
        </w:tc>
        <w:tc>
          <w:tcPr>
            <w:tcW w:w="912" w:type="dxa"/>
          </w:tcPr>
          <w:p w:rsidR="005525B4" w:rsidRPr="00700C98" w:rsidRDefault="005525B4" w:rsidP="00BC484E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71,75</w:t>
            </w:r>
          </w:p>
        </w:tc>
        <w:tc>
          <w:tcPr>
            <w:tcW w:w="616" w:type="dxa"/>
          </w:tcPr>
          <w:p w:rsidR="005525B4" w:rsidRPr="00700C98" w:rsidRDefault="005525B4" w:rsidP="00BC484E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652" w:type="dxa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72,99</w:t>
            </w:r>
          </w:p>
        </w:tc>
        <w:tc>
          <w:tcPr>
            <w:tcW w:w="608" w:type="dxa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72,99</w:t>
            </w:r>
          </w:p>
        </w:tc>
        <w:tc>
          <w:tcPr>
            <w:tcW w:w="608" w:type="dxa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color w:val="FF0000"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72,99</w:t>
            </w:r>
          </w:p>
        </w:tc>
        <w:tc>
          <w:tcPr>
            <w:tcW w:w="1422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52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министерство образования</w:t>
            </w:r>
          </w:p>
        </w:tc>
        <w:tc>
          <w:tcPr>
            <w:tcW w:w="1874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</w:rPr>
              <w:t>вхождение Российской Федерации в число 10 ведущих стран мира по качеству общего образования</w:t>
            </w:r>
          </w:p>
        </w:tc>
        <w:tc>
          <w:tcPr>
            <w:tcW w:w="1526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</w:tbl>
    <w:p w:rsidR="005525B4" w:rsidRPr="00700C98" w:rsidRDefault="005525B4" w:rsidP="005525B4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sectPr w:rsidR="005525B4" w:rsidRPr="00700C98" w:rsidSect="00334871">
          <w:pgSz w:w="16838" w:h="11905" w:orient="landscape"/>
          <w:pgMar w:top="993" w:right="1134" w:bottom="850" w:left="1134" w:header="568" w:footer="0" w:gutter="0"/>
          <w:cols w:space="720"/>
          <w:noEndnote/>
          <w:titlePg/>
          <w:docGrid w:linePitch="299"/>
        </w:sectPr>
      </w:pPr>
    </w:p>
    <w:p w:rsidR="005525B4" w:rsidRPr="00700C98" w:rsidRDefault="005525B4" w:rsidP="005525B4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</w:pPr>
      <w:r w:rsidRPr="00700C98"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lastRenderedPageBreak/>
        <w:t>2.1 Порядок расчета и источники информации о значениях целевых показателей государственной программы</w:t>
      </w:r>
    </w:p>
    <w:tbl>
      <w:tblPr>
        <w:tblStyle w:val="a8"/>
        <w:tblW w:w="15729" w:type="dxa"/>
        <w:tblLook w:val="04A0"/>
      </w:tblPr>
      <w:tblGrid>
        <w:gridCol w:w="2830"/>
        <w:gridCol w:w="8505"/>
        <w:gridCol w:w="4394"/>
      </w:tblGrid>
      <w:tr w:rsidR="005525B4" w:rsidRPr="00700C98" w:rsidTr="00BC484E">
        <w:tc>
          <w:tcPr>
            <w:tcW w:w="2830" w:type="dxa"/>
            <w:vAlign w:val="center"/>
          </w:tcPr>
          <w:p w:rsidR="005525B4" w:rsidRPr="00700C98" w:rsidRDefault="005525B4" w:rsidP="00BC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государственной программы</w:t>
            </w:r>
          </w:p>
        </w:tc>
        <w:tc>
          <w:tcPr>
            <w:tcW w:w="8505" w:type="dxa"/>
            <w:vAlign w:val="center"/>
          </w:tcPr>
          <w:p w:rsidR="005525B4" w:rsidRPr="00700C98" w:rsidRDefault="005525B4" w:rsidP="00BC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394" w:type="dxa"/>
            <w:vAlign w:val="center"/>
          </w:tcPr>
          <w:p w:rsidR="005525B4" w:rsidRPr="00700C98" w:rsidRDefault="005525B4" w:rsidP="00BC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</w:t>
            </w:r>
          </w:p>
        </w:tc>
      </w:tr>
    </w:tbl>
    <w:p w:rsidR="005525B4" w:rsidRPr="00700C98" w:rsidRDefault="005525B4" w:rsidP="005525B4">
      <w:pPr>
        <w:spacing w:after="0" w:line="240" w:lineRule="auto"/>
        <w:rPr>
          <w:sz w:val="2"/>
          <w:szCs w:val="2"/>
        </w:rPr>
      </w:pPr>
    </w:p>
    <w:tbl>
      <w:tblPr>
        <w:tblStyle w:val="a8"/>
        <w:tblW w:w="15446" w:type="dxa"/>
        <w:tblLook w:val="04A0"/>
      </w:tblPr>
      <w:tblGrid>
        <w:gridCol w:w="2830"/>
        <w:gridCol w:w="8505"/>
        <w:gridCol w:w="4111"/>
      </w:tblGrid>
      <w:tr w:rsidR="005525B4" w:rsidRPr="00700C98" w:rsidTr="00BC484E">
        <w:trPr>
          <w:tblHeader/>
        </w:trPr>
        <w:tc>
          <w:tcPr>
            <w:tcW w:w="2830" w:type="dxa"/>
          </w:tcPr>
          <w:p w:rsidR="005525B4" w:rsidRPr="00700C98" w:rsidRDefault="005525B4" w:rsidP="00BC48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C98"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:rsidR="005525B4" w:rsidRPr="00700C98" w:rsidRDefault="005525B4" w:rsidP="00BC48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C98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5525B4" w:rsidRPr="00700C98" w:rsidRDefault="005525B4" w:rsidP="00BC48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C98">
              <w:rPr>
                <w:sz w:val="20"/>
                <w:szCs w:val="20"/>
              </w:rPr>
              <w:t>3</w:t>
            </w:r>
          </w:p>
        </w:tc>
      </w:tr>
      <w:tr w:rsidR="005525B4" w:rsidRPr="00700C98" w:rsidTr="00BC484E">
        <w:tc>
          <w:tcPr>
            <w:tcW w:w="2830" w:type="dxa"/>
            <w:vAlign w:val="center"/>
          </w:tcPr>
          <w:p w:rsidR="005525B4" w:rsidRPr="00700C98" w:rsidRDefault="005525B4" w:rsidP="00BC4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1. Доля выпускников,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</w:t>
            </w:r>
          </w:p>
        </w:tc>
        <w:tc>
          <w:tcPr>
            <w:tcW w:w="8505" w:type="dxa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Двып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= (</w:t>
            </w:r>
            <w:r w:rsidR="0054282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№</w:t>
            </w:r>
            <w:proofErr w:type="spell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ат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/ </w:t>
            </w:r>
            <w:r w:rsidR="0054282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№</w:t>
            </w:r>
            <w:proofErr w:type="spell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вып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.) </w:t>
            </w:r>
            <w:proofErr w:type="spell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х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100%, где: 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Дтр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- выпускников,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образовании; </w:t>
            </w:r>
          </w:p>
          <w:p w:rsidR="005525B4" w:rsidRPr="00700C98" w:rsidRDefault="00542820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№</w:t>
            </w:r>
            <w:proofErr w:type="spellStart"/>
            <w:r w:rsidR="005525B4"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ат</w:t>
            </w:r>
            <w:proofErr w:type="spellEnd"/>
            <w:r w:rsidR="005525B4"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- количество обучающихся и экстернов, допущенных к государственной итоговой аттестации по образовательным программам основного общего образования и получившие аттестат о среднем общем образовании; </w:t>
            </w:r>
          </w:p>
          <w:p w:rsidR="005525B4" w:rsidRPr="00700C98" w:rsidRDefault="00542820" w:rsidP="00BC4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№</w:t>
            </w:r>
            <w:proofErr w:type="spellStart"/>
            <w:r w:rsidR="005525B4"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вып</w:t>
            </w:r>
            <w:proofErr w:type="spellEnd"/>
            <w:r w:rsidR="005525B4"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. - количество обучающихся и экстернов, допущенных к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4111" w:type="dxa"/>
          </w:tcPr>
          <w:p w:rsidR="005525B4" w:rsidRPr="00700C98" w:rsidRDefault="005525B4" w:rsidP="00BC4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федерального статистического наблюдения № ОО-1;</w:t>
            </w:r>
          </w:p>
        </w:tc>
      </w:tr>
      <w:tr w:rsidR="005525B4" w:rsidRPr="00700C98" w:rsidTr="00BC484E">
        <w:tc>
          <w:tcPr>
            <w:tcW w:w="2830" w:type="dxa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2. Удовлетворенность населения качеством общего и дополнительного образования детей Архангельской области</w:t>
            </w:r>
          </w:p>
        </w:tc>
        <w:tc>
          <w:tcPr>
            <w:tcW w:w="8505" w:type="dxa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Sp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= (</w:t>
            </w:r>
            <w:proofErr w:type="spell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Sдошк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.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+ </w:t>
            </w:r>
            <w:proofErr w:type="spellStart"/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S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общ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. + </w:t>
            </w:r>
            <w:proofErr w:type="spellStart"/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Sдоп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) / 3, где: </w:t>
            </w:r>
            <w:proofErr w:type="gramEnd"/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Sp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- уровень удовлетворенности населения качеством общего и дополнительного образования детей Архангельской области; 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S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дошк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. - уровень удовлетворенности населения качеством дошкольного образования детей; 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S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общ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. - уровень удовлетворенности населения качеством общего образования детей; </w:t>
            </w:r>
          </w:p>
          <w:p w:rsidR="005525B4" w:rsidRPr="00700C98" w:rsidRDefault="005525B4" w:rsidP="00BC4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S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доп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. - уровень удовлетворенности населения качеством дополнительного образования детей</w:t>
            </w:r>
            <w:r w:rsidRPr="00700C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5525B4" w:rsidRPr="00700C98" w:rsidRDefault="005525B4" w:rsidP="00BC4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аналитический отчет по результатам проведенного социологического исследования </w:t>
            </w:r>
            <w:r w:rsidR="005E0D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уровня удовлетворенности населения Архангельской области качеством медицинской помощи, услугами в сфере ЖКХ, образования, культуры, физической культуры и спорта, в области молодежной политики, а также деятельностью органов местного самоуправления, их доступностью и информационной открытостью</w:t>
            </w:r>
          </w:p>
        </w:tc>
      </w:tr>
      <w:tr w:rsidR="005525B4" w:rsidRPr="00700C98" w:rsidTr="00BC484E">
        <w:tc>
          <w:tcPr>
            <w:tcW w:w="2830" w:type="dxa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3. Уровень образования</w:t>
            </w:r>
          </w:p>
        </w:tc>
        <w:tc>
          <w:tcPr>
            <w:tcW w:w="8505" w:type="dxa"/>
          </w:tcPr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Ур = (Мин (а</w:t>
            </w:r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× К1; 100) + Мин (а2 × К2; 100) + Мин (а3 × К3; 100) + Мин (а4 × К4; 100)) / 4, где: Мин (значение 1, значение 2) - наименьшее из двух значений;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К</w:t>
            </w:r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- доступность дошкольного образования для детей в возрастной группе от 2 месяцев до 8 лет, процентов;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K2 - доля населения в возрасте 15 - 21 года, охваченного образованием, процентов;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К3 - доля рабочей силы, имеющей профессиональное образование, процентов;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К</w:t>
            </w:r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4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- доля граждан, прошедших обучение по дополнительным профессиональным программам и программам профессионального обучения в общей численности рабочей силы (от 15 лет и старше), процентов;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а</w:t>
            </w:r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, а2, а3, а4 - балансировочные коэффициенты, определяемые как множители максимальных значений </w:t>
            </w:r>
            <w:proofErr w:type="spell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Ki</w:t>
            </w:r>
            <w:proofErr w:type="spell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для обеспечения равенства произведений в соответствии с формулой: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а</w:t>
            </w:r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× Макс (К1) = а2 × Макс (К2) = а3 × Макс (К3) = а4 × Макс (К4) = 100%, где: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Макс (К</w:t>
            </w:r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) - наибольшая величина из всех значений показателя K1, которые были в субъектах Российской Федерации в отчетном году;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Макс (К</w:t>
            </w:r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) - наибольшая величина из всех значений показателя K2, которые были в субъектах Российской Федерации в отчетном году;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Макс (К3) - наибольшая величина из всех значений показателя K3, которые были в субъектах Российской Федерации в отчетном году;</w:t>
            </w:r>
          </w:p>
          <w:p w:rsidR="005525B4" w:rsidRPr="00700C98" w:rsidRDefault="005525B4" w:rsidP="00BC484E">
            <w:pP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Макс (К</w:t>
            </w:r>
            <w:proofErr w:type="gramStart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4</w:t>
            </w:r>
            <w:proofErr w:type="gramEnd"/>
            <w:r w:rsidRPr="00700C98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) - наибольшая величина из всех значений показателя K4, которые были в субъектах Российской Федерации в отчетном году.</w:t>
            </w:r>
          </w:p>
        </w:tc>
        <w:tc>
          <w:tcPr>
            <w:tcW w:w="4111" w:type="dxa"/>
          </w:tcPr>
          <w:p w:rsidR="005525B4" w:rsidRPr="00700C98" w:rsidRDefault="005525B4" w:rsidP="00BC484E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аналитический отчет Министерства просвещения Российской Федерации</w:t>
            </w:r>
          </w:p>
        </w:tc>
      </w:tr>
    </w:tbl>
    <w:p w:rsidR="005525B4" w:rsidRPr="00700C98" w:rsidRDefault="005525B4" w:rsidP="005525B4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sectPr w:rsidR="005525B4" w:rsidRPr="00700C98" w:rsidSect="005525B4">
          <w:pgSz w:w="16838" w:h="11905" w:orient="landscape"/>
          <w:pgMar w:top="851" w:right="1134" w:bottom="426" w:left="1134" w:header="426" w:footer="0" w:gutter="0"/>
          <w:cols w:space="720"/>
          <w:noEndnote/>
          <w:titlePg/>
          <w:docGrid w:linePitch="299"/>
        </w:sectPr>
      </w:pPr>
    </w:p>
    <w:p w:rsidR="005525B4" w:rsidRPr="00700C98" w:rsidRDefault="005525B4" w:rsidP="005525B4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</w:pPr>
      <w:r w:rsidRPr="00700C98"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lastRenderedPageBreak/>
        <w:t>3. Структура государственной программы</w:t>
      </w:r>
    </w:p>
    <w:tbl>
      <w:tblPr>
        <w:tblStyle w:val="a8"/>
        <w:tblW w:w="14737" w:type="dxa"/>
        <w:tblLook w:val="04A0"/>
      </w:tblPr>
      <w:tblGrid>
        <w:gridCol w:w="704"/>
        <w:gridCol w:w="4394"/>
        <w:gridCol w:w="5670"/>
        <w:gridCol w:w="3969"/>
      </w:tblGrid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Задачи структурного элемента</w:t>
            </w:r>
          </w:p>
        </w:tc>
        <w:tc>
          <w:tcPr>
            <w:tcW w:w="5670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Связь с показателями государственной программы</w:t>
            </w:r>
          </w:p>
        </w:tc>
      </w:tr>
    </w:tbl>
    <w:p w:rsidR="005525B4" w:rsidRPr="00700C98" w:rsidRDefault="005525B4" w:rsidP="005525B4">
      <w:pPr>
        <w:spacing w:after="0" w:line="240" w:lineRule="auto"/>
        <w:rPr>
          <w:sz w:val="2"/>
          <w:szCs w:val="2"/>
        </w:rPr>
      </w:pPr>
    </w:p>
    <w:tbl>
      <w:tblPr>
        <w:tblStyle w:val="a8"/>
        <w:tblW w:w="14737" w:type="dxa"/>
        <w:tblLook w:val="04A0"/>
      </w:tblPr>
      <w:tblGrid>
        <w:gridCol w:w="704"/>
        <w:gridCol w:w="4394"/>
        <w:gridCol w:w="5670"/>
        <w:gridCol w:w="3969"/>
      </w:tblGrid>
      <w:tr w:rsidR="005525B4" w:rsidRPr="00700C98" w:rsidTr="00BC484E">
        <w:trPr>
          <w:tblHeader/>
        </w:trPr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9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0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033" w:type="dxa"/>
            <w:gridSpan w:val="3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00C9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4033" w:type="dxa"/>
            <w:gridSpan w:val="3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Современная школа (Архангельская область)</w:t>
            </w:r>
            <w:r w:rsidR="005E0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</w:t>
            </w:r>
            <w:proofErr w:type="gramEnd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протоколом проектного комитета Архангельской области от 13 декабря 2018 года № 9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 –</w:t>
            </w: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Дементьев Иван Александрович, заместитель председателя Правительства Архангельской области </w:t>
            </w:r>
          </w:p>
        </w:tc>
      </w:tr>
      <w:tr w:rsidR="005525B4" w:rsidRPr="00700C98" w:rsidTr="00BC484E">
        <w:trPr>
          <w:trHeight w:val="70"/>
        </w:trPr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</w:rPr>
              <w:t>Соисполнитель государственной программы – министерство образования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реализации: 2018 – 2024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1.1.1</w:t>
            </w:r>
          </w:p>
        </w:tc>
        <w:tc>
          <w:tcPr>
            <w:tcW w:w="439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25B4" w:rsidRPr="00700C98" w:rsidRDefault="005525B4" w:rsidP="00BC484E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color w:val="FF0000"/>
                <w:sz w:val="22"/>
                <w:szCs w:val="24"/>
              </w:rPr>
            </w:pPr>
            <w:r w:rsidRPr="00700C98">
              <w:rPr>
                <w:b w:val="0"/>
                <w:bCs w:val="0"/>
                <w:color w:val="000000"/>
                <w:sz w:val="20"/>
                <w:szCs w:val="20"/>
              </w:rPr>
              <w:t>Развитие инфраструктуры образования – строительство образовательных организаций, обновление материально-технической базы образовательных организаций и оснащение их современным оборудованием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</w:rPr>
              <w:t>Показатель государственной программы (далее – показатель) № 1,2,3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sz w:val="20"/>
                <w:szCs w:val="20"/>
                <w:lang w:val="en-US"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1.1.</w:t>
            </w:r>
            <w:r w:rsidRPr="00700C98">
              <w:rPr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Обеспечена возможность профессионального развития и обучения на протяжении всей профессиональной деятельности для педагогических работников</w:t>
            </w:r>
          </w:p>
        </w:tc>
        <w:tc>
          <w:tcPr>
            <w:tcW w:w="5670" w:type="dxa"/>
            <w:shd w:val="clear" w:color="auto" w:fill="auto"/>
          </w:tcPr>
          <w:p w:rsidR="005525B4" w:rsidRPr="00700C98" w:rsidRDefault="005525B4" w:rsidP="00BC484E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color w:val="FF0000"/>
                <w:sz w:val="22"/>
                <w:szCs w:val="24"/>
              </w:rPr>
            </w:pPr>
            <w:r w:rsidRPr="00700C98">
              <w:rPr>
                <w:b w:val="0"/>
                <w:bCs w:val="0"/>
                <w:color w:val="000000"/>
                <w:sz w:val="20"/>
                <w:szCs w:val="20"/>
              </w:rPr>
              <w:t>Профессиональное развитие педагогических работников и управленческих кадров – реализация программ повышения квалификации, методическая поддержка и сопровождение педагогических работников и управленческих кадров системы образования, развитие навыков работы педагогических работников в современной образовательной среде</w:t>
            </w:r>
            <w:r w:rsidRPr="00700C98">
              <w:rPr>
                <w:b w:val="0"/>
                <w:color w:val="FF0000"/>
                <w:sz w:val="22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 1</w:t>
            </w:r>
            <w:r w:rsidRPr="00700C98">
              <w:rPr>
                <w:rFonts w:ascii="Times New Roman" w:hAnsi="Times New Roman" w:cs="Times New Roman"/>
              </w:rPr>
              <w:t>,2,3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4033" w:type="dxa"/>
            <w:gridSpan w:val="3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Успех каждого ребенка</w:t>
            </w:r>
            <w:r w:rsidR="005E0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</w:t>
            </w:r>
            <w:proofErr w:type="gramEnd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протоколом проектного комитета Архангельской области от 13 декабря 2018 года № 9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 –</w:t>
            </w: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Дементьев Иван Александрович, заместитель председателя Правительства Архангельской области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</w:rPr>
              <w:t>Соисполнитель государственной программы – министерство образования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реализации: 2018 – 2024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1.2.1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Создана и работает система выявления, поддержки и развития способностей и талантов детей и молодежи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25B4" w:rsidRPr="00700C98" w:rsidRDefault="005525B4" w:rsidP="00BC484E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00C98">
              <w:rPr>
                <w:b w:val="0"/>
                <w:bCs w:val="0"/>
                <w:color w:val="000000"/>
                <w:sz w:val="20"/>
                <w:szCs w:val="20"/>
              </w:rPr>
              <w:t>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кадров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 </w:t>
            </w:r>
            <w:r w:rsidRPr="00700C98">
              <w:rPr>
                <w:rFonts w:ascii="Times New Roman" w:hAnsi="Times New Roman" w:cs="Times New Roman"/>
              </w:rPr>
              <w:t>2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14033" w:type="dxa"/>
            <w:gridSpan w:val="3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Цифровая образовательная среда</w:t>
            </w:r>
            <w:r w:rsidR="005E0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</w:t>
            </w: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</w:t>
            </w:r>
            <w:proofErr w:type="gramEnd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протоколом проектного комитета Архангельской области от 13 декабря 2018 года № 9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 –</w:t>
            </w: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Дементьев Иван Александрович, заместитель председателя Правительства Архангельской области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</w:rPr>
              <w:t>Соисполнитель государственной программы – министерство образования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реализации: 2018 – 2024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1.3.1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Создана и внедрена в общеобразовательных организациях цифровая образовательная среда</w:t>
            </w:r>
          </w:p>
        </w:tc>
        <w:tc>
          <w:tcPr>
            <w:tcW w:w="567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современным оборудованием и развитие цифровых сервисов и </w:t>
            </w:r>
            <w:proofErr w:type="spellStart"/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контента</w:t>
            </w:r>
            <w:proofErr w:type="spellEnd"/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деятельности.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Показатель № </w:t>
            </w:r>
            <w:r w:rsidRPr="00700C98">
              <w:rPr>
                <w:rFonts w:ascii="Times New Roman" w:hAnsi="Times New Roman" w:cs="Times New Roman"/>
              </w:rPr>
              <w:t>2,3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lastRenderedPageBreak/>
              <w:t>1.3.2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цифровой трансформации системы образования</w:t>
            </w:r>
          </w:p>
        </w:tc>
        <w:tc>
          <w:tcPr>
            <w:tcW w:w="567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1"/>
                <w:szCs w:val="21"/>
              </w:rPr>
              <w:t>Создание, внедрение и эксплуатация региональных информационных систем и ресурсов (</w:t>
            </w:r>
            <w:proofErr w:type="spellStart"/>
            <w:r w:rsidRPr="00700C98">
              <w:rPr>
                <w:rFonts w:ascii="Times New Roman" w:hAnsi="Times New Roman" w:cs="Times New Roman"/>
                <w:sz w:val="21"/>
                <w:szCs w:val="21"/>
              </w:rPr>
              <w:t>ИСиР</w:t>
            </w:r>
            <w:proofErr w:type="spellEnd"/>
            <w:r w:rsidRPr="00700C98">
              <w:rPr>
                <w:rFonts w:ascii="Times New Roman" w:hAnsi="Times New Roman" w:cs="Times New Roman"/>
                <w:sz w:val="21"/>
                <w:szCs w:val="21"/>
              </w:rPr>
              <w:t>), направленных на повышение эффективности функционирования системы образования, деятельности образовательных организаций и организаций, осуществляющих обучение, на основе ведения административно-управленческих функций, а также на организацию и ведение образовательного процесса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 1</w:t>
            </w:r>
            <w:r w:rsidRPr="00700C98">
              <w:rPr>
                <w:rFonts w:ascii="Times New Roman" w:hAnsi="Times New Roman" w:cs="Times New Roman"/>
              </w:rPr>
              <w:t>,2,3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14033" w:type="dxa"/>
            <w:gridSpan w:val="3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Социальная активность (Архангельская область)</w:t>
            </w:r>
            <w:r w:rsidR="005E0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</w:t>
            </w: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</w:t>
            </w:r>
            <w:proofErr w:type="gramEnd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протоколом проектного комитета Архангельской области от 13 декабря 2018 года № 9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 –</w:t>
            </w: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Дементьев Иван Александрович, заместитель председателя Правительства Архангельской области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</w:rPr>
              <w:t>Соисполнитель государственной программы – министерство образования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реализации: 2018 – 2024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1.4.1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Созданы условия для развития и поддержки добровольчества (</w:t>
            </w:r>
            <w:proofErr w:type="spellStart"/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добровольчества (</w:t>
            </w:r>
            <w:proofErr w:type="spellStart"/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развитие талантов и способностей у детей и молодежи, в том числе студентов, путем поддержки общественных инициатив и проектов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 </w:t>
            </w:r>
            <w:r w:rsidRPr="00700C98">
              <w:rPr>
                <w:rFonts w:ascii="Times New Roman" w:hAnsi="Times New Roman" w:cs="Times New Roman"/>
              </w:rPr>
              <w:t>2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14033" w:type="dxa"/>
            <w:gridSpan w:val="3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700C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Профессионалитет</w:t>
            </w:r>
            <w:proofErr w:type="spellEnd"/>
            <w:r w:rsidR="005E0D1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700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</w:t>
            </w:r>
            <w:proofErr w:type="gramEnd"/>
            <w:r w:rsidRPr="00700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протоколом проектного комитета Архангельской области от 29 сентября 2023 года № 6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 –</w:t>
            </w: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Дементьев Иван Александрович, заместитель председателя Правительства Архангельской области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</w:rPr>
              <w:t>Соисполнитель государственной программы – министерство образования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реализации: 2024 – 2026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1.5.1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образовательно-производственных центров (кластеров);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(развитие</w:t>
            </w:r>
            <w:proofErr w:type="gramStart"/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)д</w:t>
            </w:r>
            <w:proofErr w:type="gramEnd"/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еятельности образовательных центров (кластеров), среднего профессионального образования.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 </w:t>
            </w:r>
            <w:r w:rsidRPr="00700C98">
              <w:rPr>
                <w:rFonts w:ascii="Times New Roman" w:hAnsi="Times New Roman" w:cs="Times New Roman"/>
              </w:rPr>
              <w:t>3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1.6</w:t>
            </w:r>
          </w:p>
        </w:tc>
        <w:tc>
          <w:tcPr>
            <w:tcW w:w="14033" w:type="dxa"/>
            <w:gridSpan w:val="3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Модернизация школьных систем образования</w:t>
            </w:r>
            <w:r w:rsidR="009659D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в Архангельской области</w:t>
            </w:r>
            <w:r w:rsidR="005E0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</w:t>
            </w:r>
            <w:proofErr w:type="gramEnd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протоколом проектного комитета Архангельской области от </w:t>
            </w:r>
            <w:r w:rsidRPr="00700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 января 2022 года № 1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 –</w:t>
            </w:r>
            <w:r w:rsidRPr="00700C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Дементьев Иван Александрович, заместитель председателя Правительства Архангельской области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</w:rPr>
              <w:t>Соисполнитель государственной программы – министерство образования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00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реализации: 2022 – 2026</w:t>
            </w:r>
          </w:p>
        </w:tc>
      </w:tr>
      <w:tr w:rsidR="005525B4" w:rsidRPr="00700C98" w:rsidTr="00BC484E">
        <w:trPr>
          <w:trHeight w:val="70"/>
        </w:trPr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1.6.1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Приведение в нормативное состояние не менее 100 зданий (обособленных помещений) общеобразовательных организаций посредством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обучения, обеспечение нормативного уровня антитеррористической защищенности, повышения качества профессиональной подготовки педагогического и управленческого состава.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Комплексная модернизация общеобразовательных организаций, в том числе проведение капитального ремонта, оснащение современными средствами воспитания и обучения, обеспечение нормативного уровня антитеррористической защищенности, повышения качества профессиональной подготовки педагогического и управленческого состава.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 </w:t>
            </w:r>
            <w:r w:rsidRPr="00700C98">
              <w:rPr>
                <w:rFonts w:ascii="Times New Roman" w:hAnsi="Times New Roman" w:cs="Times New Roman"/>
              </w:rPr>
              <w:t>2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4033" w:type="dxa"/>
            <w:gridSpan w:val="3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25B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Процессная</w:t>
            </w:r>
            <w:r w:rsidRPr="00700C98">
              <w:rPr>
                <w:b/>
                <w:bCs/>
                <w:sz w:val="20"/>
                <w:szCs w:val="20"/>
                <w:lang w:eastAsia="zh-CN"/>
              </w:rPr>
              <w:t xml:space="preserve"> часть государственной программы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4033" w:type="dxa"/>
            <w:gridSpan w:val="3"/>
            <w:shd w:val="clear" w:color="auto" w:fill="auto"/>
          </w:tcPr>
          <w:p w:rsidR="005525B4" w:rsidRPr="005525B4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5525B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 xml:space="preserve">Комплекс процессных мероприятий </w:t>
            </w:r>
            <w:r w:rsidR="005E0D1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«</w:t>
            </w:r>
            <w:r w:rsidRPr="005525B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Развитие образования Архангельской области</w:t>
            </w:r>
            <w:r w:rsidR="005E0D1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»</w:t>
            </w:r>
            <w:r w:rsidRPr="005525B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,</w:t>
            </w:r>
          </w:p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25B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 xml:space="preserve"> </w:t>
            </w:r>
            <w:proofErr w:type="gramStart"/>
            <w:r w:rsidRPr="005525B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утвержден</w:t>
            </w:r>
            <w:proofErr w:type="gramEnd"/>
            <w:r w:rsidRPr="005525B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 xml:space="preserve"> распоряжением Министерства образования Архангельской области от </w:t>
            </w:r>
            <w:r w:rsidRPr="00700C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29 сентября 2023 года </w:t>
            </w:r>
            <w:r w:rsidRPr="005525B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№ 1773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033" w:type="dxa"/>
            <w:gridSpan w:val="3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</w:rPr>
              <w:t>Соисполнитель государственной программы – министерство образования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2.1.1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Обеспечение доступности и качества образования, соответствующего потребностям граждан, требованиям инновационного социально-экономического развития Архангельской области</w:t>
            </w:r>
          </w:p>
        </w:tc>
        <w:tc>
          <w:tcPr>
            <w:tcW w:w="5670" w:type="dxa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совершенствование образовательных технологий и содержания образовательных программ дошкольного, начального общего, основного общего, среднего общего образования, дополнительного образования детей;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совершенствование системы интеллектуальных, творческих и спортивных состязаний среди обучающихся и воспитанников, направленных на выявление и развитие способностей и талантов детей;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создание объективной системы оценки качества общего образования;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укрепление материально-технической базы государственных общеобразовательных организаций Архангельской области;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формирование эффективной территориально-отраслевой организации ресурсов системы профессионального образования, ориентированной на потребности рынка труда Архангельской области;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повышение привлекательности программ профессионального образования, востребованных на рынке труда Архангельской области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развитие информационных технологий в сфере образования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развитие негосударственных услуг в сфере образования</w:t>
            </w:r>
          </w:p>
        </w:tc>
        <w:tc>
          <w:tcPr>
            <w:tcW w:w="3969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sz w:val="18"/>
                <w:szCs w:val="18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 1</w:t>
            </w:r>
            <w:r w:rsidRPr="00700C98">
              <w:rPr>
                <w:rFonts w:ascii="Times New Roman" w:hAnsi="Times New Roman" w:cs="Times New Roman"/>
              </w:rPr>
              <w:t>,2,3</w:t>
            </w:r>
          </w:p>
        </w:tc>
      </w:tr>
      <w:tr w:rsidR="005525B4" w:rsidRPr="00700C98" w:rsidTr="00BC484E">
        <w:tc>
          <w:tcPr>
            <w:tcW w:w="704" w:type="dxa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2.1.2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Обеспечение потребностей экономики Архангельской области в квалифицированных кадрах</w:t>
            </w:r>
          </w:p>
        </w:tc>
        <w:tc>
          <w:tcPr>
            <w:tcW w:w="5670" w:type="dxa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обеспечение педагогическим работникам уровня жизни, соответствующего стандартам среднего класса;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создание условий для непрерывного профессионального развития педагогических работников;</w:t>
            </w:r>
          </w:p>
        </w:tc>
        <w:tc>
          <w:tcPr>
            <w:tcW w:w="3969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 </w:t>
            </w:r>
            <w:r w:rsidRPr="00700C98">
              <w:rPr>
                <w:rFonts w:ascii="Times New Roman" w:hAnsi="Times New Roman" w:cs="Times New Roman"/>
              </w:rPr>
              <w:t>2,3</w:t>
            </w:r>
          </w:p>
        </w:tc>
      </w:tr>
      <w:tr w:rsidR="005525B4" w:rsidRPr="00700C98" w:rsidTr="00BC484E">
        <w:tc>
          <w:tcPr>
            <w:tcW w:w="704" w:type="dxa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2.1.3</w:t>
            </w:r>
          </w:p>
        </w:tc>
        <w:tc>
          <w:tcPr>
            <w:tcW w:w="439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Создание социально-экономических и </w:t>
            </w:r>
            <w:proofErr w:type="spellStart"/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социокультурных</w:t>
            </w:r>
            <w:proofErr w:type="spellEnd"/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условий для сохранения и развития наследия М.В. Ломоносова</w:t>
            </w:r>
          </w:p>
        </w:tc>
        <w:tc>
          <w:tcPr>
            <w:tcW w:w="5670" w:type="dxa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сбережение и развитие научного и культурного наследия М.В.Ломоносова;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материальное оснащение и развитие инфраструктуры родины М.В.Ломоносова;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популяризация родины, жизни и творчества М.В.Ломоносова</w:t>
            </w:r>
          </w:p>
        </w:tc>
        <w:tc>
          <w:tcPr>
            <w:tcW w:w="3969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 </w:t>
            </w:r>
            <w:r w:rsidRPr="00700C98">
              <w:rPr>
                <w:rFonts w:ascii="Times New Roman" w:hAnsi="Times New Roman" w:cs="Times New Roman"/>
              </w:rPr>
              <w:t>2</w:t>
            </w:r>
          </w:p>
        </w:tc>
      </w:tr>
      <w:tr w:rsidR="005525B4" w:rsidRPr="00700C98" w:rsidTr="00BC484E">
        <w:tc>
          <w:tcPr>
            <w:tcW w:w="704" w:type="dxa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sz w:val="20"/>
                <w:szCs w:val="20"/>
                <w:lang w:eastAsia="zh-CN"/>
              </w:rPr>
              <w:t>2.1.4</w:t>
            </w:r>
          </w:p>
        </w:tc>
        <w:tc>
          <w:tcPr>
            <w:tcW w:w="439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Развитие сети образовательных организаций, реализующих программы дошкольного, начального общего, основного общего, среднего общего, среднего профессионального образования, дополнительные общеобразовательные программы, создание в них современных условий обучения, </w:t>
            </w: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обеспечение государственных гарантий доступности общего и профессионального образования, а также дополнительного образования детей в Архангельской области</w:t>
            </w:r>
          </w:p>
        </w:tc>
        <w:tc>
          <w:tcPr>
            <w:tcW w:w="5670" w:type="dxa"/>
          </w:tcPr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развитие сети дошкольных образовательных организаций и создание в них современных условий обучения;</w:t>
            </w:r>
          </w:p>
          <w:p w:rsidR="005525B4" w:rsidRPr="00700C98" w:rsidRDefault="005525B4" w:rsidP="00BC484E">
            <w:pPr>
              <w:widowControl w:val="0"/>
              <w:autoSpaceDE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области, государственных образовательных организаций Архангельской области и создание в них </w:t>
            </w: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современных условий обучения;</w:t>
            </w:r>
          </w:p>
        </w:tc>
        <w:tc>
          <w:tcPr>
            <w:tcW w:w="3969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Показатель № </w:t>
            </w:r>
            <w:r w:rsidRPr="00700C98">
              <w:rPr>
                <w:rFonts w:ascii="Times New Roman" w:hAnsi="Times New Roman" w:cs="Times New Roman"/>
              </w:rPr>
              <w:t>2</w:t>
            </w:r>
          </w:p>
        </w:tc>
      </w:tr>
    </w:tbl>
    <w:p w:rsidR="005525B4" w:rsidRDefault="005525B4" w:rsidP="005525B4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4"/>
          <w:szCs w:val="24"/>
          <w:lang w:eastAsia="zh-CN"/>
        </w:rPr>
        <w:sectPr w:rsidR="005525B4" w:rsidSect="00334871">
          <w:pgSz w:w="16838" w:h="11905" w:orient="landscape"/>
          <w:pgMar w:top="993" w:right="1134" w:bottom="850" w:left="1134" w:header="568" w:footer="0" w:gutter="0"/>
          <w:cols w:space="720"/>
          <w:noEndnote/>
          <w:titlePg/>
          <w:docGrid w:linePitch="299"/>
        </w:sectPr>
      </w:pPr>
    </w:p>
    <w:p w:rsidR="005525B4" w:rsidRPr="005525B4" w:rsidRDefault="005525B4" w:rsidP="005525B4">
      <w:pPr>
        <w:tabs>
          <w:tab w:val="left" w:pos="3759"/>
        </w:tabs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</w:pPr>
      <w:r w:rsidRPr="005525B4"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lastRenderedPageBreak/>
        <w:t>4. Финансовое обеспечение государственной программы</w:t>
      </w:r>
    </w:p>
    <w:tbl>
      <w:tblPr>
        <w:tblStyle w:val="a8"/>
        <w:tblW w:w="14879" w:type="dxa"/>
        <w:tblLook w:val="04A0"/>
      </w:tblPr>
      <w:tblGrid>
        <w:gridCol w:w="704"/>
        <w:gridCol w:w="7088"/>
        <w:gridCol w:w="1842"/>
        <w:gridCol w:w="1560"/>
        <w:gridCol w:w="1701"/>
        <w:gridCol w:w="1984"/>
      </w:tblGrid>
      <w:tr w:rsidR="005525B4" w:rsidRPr="00700C98" w:rsidTr="00BC484E">
        <w:tc>
          <w:tcPr>
            <w:tcW w:w="704" w:type="dxa"/>
            <w:vMerge w:val="restart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7088" w:type="dxa"/>
            <w:vMerge w:val="restart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</w:p>
        </w:tc>
        <w:tc>
          <w:tcPr>
            <w:tcW w:w="7087" w:type="dxa"/>
            <w:gridSpan w:val="4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Объем финансового обеспечения по годам реализации (тыс. рублей)</w:t>
            </w:r>
          </w:p>
        </w:tc>
      </w:tr>
      <w:tr w:rsidR="005525B4" w:rsidRPr="00700C98" w:rsidTr="00BC484E">
        <w:tc>
          <w:tcPr>
            <w:tcW w:w="704" w:type="dxa"/>
            <w:vMerge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vMerge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560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701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1984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Всего</w:t>
            </w:r>
          </w:p>
        </w:tc>
      </w:tr>
    </w:tbl>
    <w:p w:rsidR="005525B4" w:rsidRPr="00700C98" w:rsidRDefault="005525B4" w:rsidP="005525B4">
      <w:pPr>
        <w:spacing w:after="0" w:line="240" w:lineRule="auto"/>
        <w:rPr>
          <w:sz w:val="2"/>
          <w:szCs w:val="2"/>
        </w:rPr>
      </w:pPr>
    </w:p>
    <w:tbl>
      <w:tblPr>
        <w:tblStyle w:val="a8"/>
        <w:tblW w:w="14879" w:type="dxa"/>
        <w:tblLook w:val="04A0"/>
      </w:tblPr>
      <w:tblGrid>
        <w:gridCol w:w="704"/>
        <w:gridCol w:w="7088"/>
        <w:gridCol w:w="1842"/>
        <w:gridCol w:w="1560"/>
        <w:gridCol w:w="1701"/>
        <w:gridCol w:w="1984"/>
      </w:tblGrid>
      <w:tr w:rsidR="005525B4" w:rsidRPr="00700C98" w:rsidTr="00BC484E">
        <w:trPr>
          <w:tblHeader/>
        </w:trPr>
        <w:tc>
          <w:tcPr>
            <w:tcW w:w="704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88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2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560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701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984" w:type="dxa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>6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lang w:eastAsia="zh-CN"/>
              </w:rPr>
              <w:t>Государственная программа (всего), в том числе: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35 528 274,1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35 499 899,2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33 174 101,4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104 202 274,7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35 154 087,8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35 135 885,5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32 700 383,9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102 990 357,2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25 713 943,5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26 152 069,4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25 877 871,0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77 743 883,9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329 983,2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329 983,2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314 983,2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974 949,6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lang w:eastAsia="zh-CN"/>
              </w:rPr>
              <w:t>1.1.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Современная школа (Архангельская область)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700C98">
              <w:rPr>
                <w:rFonts w:ascii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2 326 243,5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2 285 487,7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153 566,1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4 765 297,3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2 326 156,9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2 285 487,7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153 566,1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4 765 210,7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86 620,4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86 620,4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lang w:eastAsia="zh-CN"/>
              </w:rPr>
              <w:t>1.2.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Успех каждого ребенка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700C98">
              <w:rPr>
                <w:rFonts w:ascii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100 753,6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93 658,0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65 000,0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259 411,6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100 753,6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93 658,0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65 000,0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259 411,6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64 928,0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93 658,0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65 000,0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223 586,0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lang w:eastAsia="zh-CN"/>
              </w:rPr>
              <w:t>1.3.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Цифровая образовательная среда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700C98">
              <w:rPr>
                <w:rFonts w:ascii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156 352,5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156 352,5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156 352,5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156 352,5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lang w:eastAsia="zh-CN"/>
              </w:rPr>
              <w:t>1.4.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Социальная активность (Архангельская область)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700C98">
              <w:rPr>
                <w:rFonts w:ascii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10 601,6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10 601,6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10 601,6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10 601,6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lang w:eastAsia="zh-CN"/>
              </w:rPr>
              <w:t>1.5.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Профессионалитет</w:t>
            </w:r>
            <w:proofErr w:type="spellEnd"/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700C98">
              <w:rPr>
                <w:rFonts w:ascii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137 316,5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84 491,2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40 022,3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261 830,0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122 316,5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69 491,2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40 022,3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231 830,0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lang w:eastAsia="zh-CN"/>
              </w:rPr>
              <w:t>1.6.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Региональный проект 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700C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Модернизация школьных систем образования</w:t>
            </w:r>
            <w:r w:rsidR="009659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в Архангельской области</w:t>
            </w:r>
            <w:r w:rsidR="005E0D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700C98">
              <w:rPr>
                <w:rFonts w:ascii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614 732,7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603 495,7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1 218 228,4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614 732,7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603 495,7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1 218 228,4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566 756,2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555 519,2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1 122 275,4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bCs/>
                <w:lang w:eastAsia="zh-CN"/>
              </w:rPr>
              <w:t>1.7.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00C98">
              <w:rPr>
                <w:rFonts w:ascii="Times New Roman" w:hAnsi="Times New Roman" w:cs="Times New Roman"/>
                <w:lang w:eastAsia="ru-RU"/>
              </w:rPr>
              <w:t xml:space="preserve">Комплекс процессных мероприятий </w:t>
            </w:r>
            <w:r w:rsidR="005E0D15">
              <w:rPr>
                <w:rFonts w:ascii="Times New Roman" w:hAnsi="Times New Roman" w:cs="Times New Roman"/>
                <w:lang w:eastAsia="ru-RU"/>
              </w:rPr>
              <w:t>«</w:t>
            </w:r>
            <w:r w:rsidRPr="00700C98">
              <w:rPr>
                <w:rFonts w:ascii="Times New Roman" w:hAnsi="Times New Roman" w:cs="Times New Roman"/>
                <w:lang w:eastAsia="ru-RU"/>
              </w:rPr>
              <w:t>Развитие образования Архангельской области</w:t>
            </w:r>
            <w:r w:rsidR="005E0D15">
              <w:rPr>
                <w:rFonts w:ascii="Times New Roman" w:hAnsi="Times New Roman" w:cs="Times New Roman"/>
                <w:lang w:eastAsia="ru-RU"/>
              </w:rPr>
              <w:t>»</w:t>
            </w:r>
            <w:r w:rsidRPr="00700C98">
              <w:rPr>
                <w:rFonts w:ascii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32 182 273,7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32 432 766,6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 xml:space="preserve">32 915 513,0 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97 530 553,3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00C98">
              <w:rPr>
                <w:rFonts w:ascii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31 823 174,0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32 083 752,9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32 441 795,5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96 348 722,4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</w:rPr>
            </w:pPr>
            <w:r w:rsidRPr="00700C98">
              <w:rPr>
                <w:rFonts w:ascii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  <w:proofErr w:type="gramStart"/>
            <w:r w:rsidRPr="00700C98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24 995 638,9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25 502 892,2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25 812 871,0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76 311 402,1</w:t>
            </w:r>
          </w:p>
        </w:tc>
      </w:tr>
      <w:tr w:rsidR="005525B4" w:rsidRPr="00700C98" w:rsidTr="00BC484E">
        <w:tc>
          <w:tcPr>
            <w:tcW w:w="70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5525B4" w:rsidRPr="00700C98" w:rsidRDefault="005525B4" w:rsidP="00BC484E">
            <w:pPr>
              <w:widowControl w:val="0"/>
              <w:autoSpaceDE w:val="0"/>
              <w:ind w:left="199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00C98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  <w:proofErr w:type="gramStart"/>
            <w:r w:rsidRPr="00700C98">
              <w:rPr>
                <w:rFonts w:ascii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314 983,2</w:t>
            </w:r>
          </w:p>
        </w:tc>
        <w:tc>
          <w:tcPr>
            <w:tcW w:w="1560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314 983,2</w:t>
            </w:r>
          </w:p>
        </w:tc>
        <w:tc>
          <w:tcPr>
            <w:tcW w:w="1701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314 983,2</w:t>
            </w:r>
          </w:p>
        </w:tc>
        <w:tc>
          <w:tcPr>
            <w:tcW w:w="1984" w:type="dxa"/>
            <w:shd w:val="clear" w:color="auto" w:fill="auto"/>
          </w:tcPr>
          <w:p w:rsidR="005525B4" w:rsidRPr="00700C98" w:rsidRDefault="005525B4" w:rsidP="00BC484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lang w:eastAsia="zh-CN"/>
              </w:rPr>
            </w:pPr>
            <w:r w:rsidRPr="00700C98">
              <w:rPr>
                <w:rFonts w:ascii="Times New Roman" w:hAnsi="Times New Roman" w:cs="Times New Roman"/>
                <w:color w:val="000000"/>
              </w:rPr>
              <w:t>944 949,6</w:t>
            </w:r>
            <w:r w:rsidR="005E0D15">
              <w:rPr>
                <w:rFonts w:ascii="Times New Roman" w:hAnsi="Times New Roman" w:cs="Times New Roman"/>
                <w:color w:val="000000"/>
              </w:rPr>
              <w:t>»</w:t>
            </w:r>
            <w:r w:rsidRPr="00700C98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</w:tbl>
    <w:p w:rsidR="005525B4" w:rsidRPr="00700C98" w:rsidRDefault="005525B4" w:rsidP="005525B4">
      <w:pPr>
        <w:rPr>
          <w:sz w:val="2"/>
          <w:szCs w:val="2"/>
        </w:rPr>
      </w:pPr>
    </w:p>
    <w:p w:rsidR="005525B4" w:rsidRPr="00700C98" w:rsidRDefault="005525B4" w:rsidP="005525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5525B4" w:rsidRPr="005525B4" w:rsidRDefault="005525B4" w:rsidP="005525B4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5B4">
        <w:rPr>
          <w:rFonts w:ascii="Times New Roman" w:eastAsia="Times New Roman" w:hAnsi="Times New Roman" w:cs="Times New Roman"/>
          <w:bCs/>
          <w:sz w:val="28"/>
          <w:szCs w:val="28"/>
        </w:rPr>
        <w:t>5. Показатели государственной программы Архангельской области в разрезе муниципальных образований Архангельской области</w:t>
      </w:r>
    </w:p>
    <w:p w:rsidR="005525B4" w:rsidRPr="00700C98" w:rsidRDefault="005525B4" w:rsidP="005525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Look w:val="01E0"/>
      </w:tblPr>
      <w:tblGrid>
        <w:gridCol w:w="6521"/>
        <w:gridCol w:w="1276"/>
        <w:gridCol w:w="1134"/>
        <w:gridCol w:w="2126"/>
        <w:gridCol w:w="1985"/>
        <w:gridCol w:w="1842"/>
      </w:tblGrid>
      <w:tr w:rsidR="005525B4" w:rsidRPr="00700C98" w:rsidTr="00BC484E">
        <w:trPr>
          <w:trHeight w:val="436"/>
        </w:trPr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Архангельской области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5525B4" w:rsidRPr="00700C98" w:rsidTr="00BC484E">
        <w:trPr>
          <w:trHeight w:val="464"/>
        </w:trPr>
        <w:tc>
          <w:tcPr>
            <w:tcW w:w="6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2026</w:t>
            </w:r>
          </w:p>
        </w:tc>
      </w:tr>
      <w:tr w:rsidR="005525B4" w:rsidRPr="00700C98" w:rsidTr="00BC484E">
        <w:trPr>
          <w:trHeight w:val="2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5525B4" w:rsidRPr="00700C98" w:rsidTr="00BC484E">
        <w:trPr>
          <w:trHeight w:val="2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B4" w:rsidRPr="00700C98" w:rsidRDefault="005525B4" w:rsidP="00BC4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E0D1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00C9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E42DD8" w:rsidRDefault="00E42DD8" w:rsidP="00B714D5">
      <w:pPr>
        <w:pStyle w:val="ConsPlusNormal"/>
        <w:outlineLvl w:val="0"/>
      </w:pPr>
    </w:p>
    <w:sectPr w:rsidR="00E42DD8" w:rsidSect="00B714D5">
      <w:pgSz w:w="16838" w:h="11906" w:orient="landscape"/>
      <w:pgMar w:top="1133" w:right="851" w:bottom="566" w:left="1440" w:header="426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8D" w:rsidRDefault="00DD3B8D">
      <w:pPr>
        <w:spacing w:after="0" w:line="240" w:lineRule="auto"/>
      </w:pPr>
      <w:r>
        <w:separator/>
      </w:r>
    </w:p>
  </w:endnote>
  <w:endnote w:type="continuationSeparator" w:id="0">
    <w:p w:rsidR="00DD3B8D" w:rsidRDefault="00DD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4032"/>
      <w:docPartObj>
        <w:docPartGallery w:val="Page Numbers (Bottom of Page)"/>
        <w:docPartUnique/>
      </w:docPartObj>
    </w:sdtPr>
    <w:sdtContent>
      <w:p w:rsidR="0035411E" w:rsidRDefault="0035411E">
        <w:pPr>
          <w:pStyle w:val="a5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35411E" w:rsidRDefault="003541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8D" w:rsidRDefault="00DD3B8D">
      <w:pPr>
        <w:spacing w:after="0" w:line="240" w:lineRule="auto"/>
      </w:pPr>
      <w:r>
        <w:separator/>
      </w:r>
    </w:p>
  </w:footnote>
  <w:footnote w:type="continuationSeparator" w:id="0">
    <w:p w:rsidR="00DD3B8D" w:rsidRDefault="00DD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776"/>
    <w:multiLevelType w:val="hybridMultilevel"/>
    <w:tmpl w:val="42A06732"/>
    <w:lvl w:ilvl="0" w:tplc="F76C8C1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BC5C7F"/>
    <w:rsid w:val="000238D5"/>
    <w:rsid w:val="000A173D"/>
    <w:rsid w:val="00152FB3"/>
    <w:rsid w:val="00155DC7"/>
    <w:rsid w:val="00233E88"/>
    <w:rsid w:val="0030603F"/>
    <w:rsid w:val="00317533"/>
    <w:rsid w:val="003356C6"/>
    <w:rsid w:val="0035411E"/>
    <w:rsid w:val="0039089F"/>
    <w:rsid w:val="003E4042"/>
    <w:rsid w:val="004E1915"/>
    <w:rsid w:val="004F53CE"/>
    <w:rsid w:val="00542820"/>
    <w:rsid w:val="005525B4"/>
    <w:rsid w:val="005D031D"/>
    <w:rsid w:val="005E0D15"/>
    <w:rsid w:val="00600D15"/>
    <w:rsid w:val="00615D9E"/>
    <w:rsid w:val="00625C85"/>
    <w:rsid w:val="00640DF2"/>
    <w:rsid w:val="0075497D"/>
    <w:rsid w:val="00845517"/>
    <w:rsid w:val="008A35BF"/>
    <w:rsid w:val="009438C2"/>
    <w:rsid w:val="0095151A"/>
    <w:rsid w:val="009659DB"/>
    <w:rsid w:val="009A5E91"/>
    <w:rsid w:val="00A061BB"/>
    <w:rsid w:val="00A37C0D"/>
    <w:rsid w:val="00A7463C"/>
    <w:rsid w:val="00B0047D"/>
    <w:rsid w:val="00B22498"/>
    <w:rsid w:val="00B24CAE"/>
    <w:rsid w:val="00B714D5"/>
    <w:rsid w:val="00BB0F04"/>
    <w:rsid w:val="00BB7D77"/>
    <w:rsid w:val="00BC5C7F"/>
    <w:rsid w:val="00C0044D"/>
    <w:rsid w:val="00C10C36"/>
    <w:rsid w:val="00C73598"/>
    <w:rsid w:val="00C90F71"/>
    <w:rsid w:val="00D74169"/>
    <w:rsid w:val="00DD3B8D"/>
    <w:rsid w:val="00DD4D94"/>
    <w:rsid w:val="00E42DD8"/>
    <w:rsid w:val="00E51ABF"/>
    <w:rsid w:val="00F45D5F"/>
    <w:rsid w:val="00F47641"/>
    <w:rsid w:val="00F9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0D"/>
  </w:style>
  <w:style w:type="paragraph" w:styleId="3">
    <w:name w:val="heading 3"/>
    <w:basedOn w:val="a"/>
    <w:link w:val="30"/>
    <w:uiPriority w:val="9"/>
    <w:qFormat/>
    <w:rsid w:val="00552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rsid w:val="00A37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rsid w:val="00A37C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rsid w:val="00A37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rsid w:val="00A37C0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rsid w:val="00A37C0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rsid w:val="00A37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rsid w:val="00A37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rsid w:val="00A37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5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C7F"/>
  </w:style>
  <w:style w:type="paragraph" w:styleId="a5">
    <w:name w:val="footer"/>
    <w:basedOn w:val="a"/>
    <w:link w:val="a6"/>
    <w:uiPriority w:val="99"/>
    <w:unhideWhenUsed/>
    <w:rsid w:val="00BC5C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5C7F"/>
  </w:style>
  <w:style w:type="paragraph" w:styleId="a7">
    <w:name w:val="No Spacing"/>
    <w:uiPriority w:val="1"/>
    <w:qFormat/>
    <w:rsid w:val="00B24CAE"/>
    <w:pPr>
      <w:spacing w:after="0" w:line="240" w:lineRule="auto"/>
    </w:pPr>
    <w:rPr>
      <w:rFonts w:eastAsia="Calibri"/>
      <w:kern w:val="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525B4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5525B4"/>
    <w:pPr>
      <w:spacing w:after="0" w:line="240" w:lineRule="auto"/>
    </w:pPr>
    <w:rPr>
      <w:rFonts w:eastAsia="Calibr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DC7"/>
    <w:pPr>
      <w:ind w:left="720"/>
      <w:contextualSpacing/>
    </w:pPr>
    <w:rPr>
      <w:rFonts w:eastAsia="Calibri"/>
      <w:kern w:val="0"/>
      <w:lang w:eastAsia="en-US"/>
    </w:rPr>
  </w:style>
  <w:style w:type="character" w:customStyle="1" w:styleId="ConsPlusNormal0">
    <w:name w:val="ConsPlusNormal Знак"/>
    <w:link w:val="ConsPlusNormal"/>
    <w:locked/>
    <w:rsid w:val="00845517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2732</Words>
  <Characters>20356</Characters>
  <Application>Microsoft Office Word</Application>
  <DocSecurity>2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12.10.2012 N 463-пп(ред. от 04.09.2023)"Об утверждении государственной программы Архангельской области "Развитие образования и науки Архангельской области"</vt:lpstr>
    </vt:vector>
  </TitlesOfParts>
  <Company>КонсультантПлюс Версия 4022.00.55</Company>
  <LinksUpToDate>false</LinksUpToDate>
  <CharactersWithSpaces>23042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12.10.2012 N 463-пп(ред. от 04.09.2023)"Об утверждении государственной программы Архангельской области "Развитие образования и науки Архангельской области"</dc:title>
  <dc:creator>МАлыгин И.Н.</dc:creator>
  <cp:lastModifiedBy>minfin user</cp:lastModifiedBy>
  <cp:revision>4</cp:revision>
  <dcterms:created xsi:type="dcterms:W3CDTF">2023-10-11T13:11:00Z</dcterms:created>
  <dcterms:modified xsi:type="dcterms:W3CDTF">2023-10-11T13:50:00Z</dcterms:modified>
</cp:coreProperties>
</file>