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8" w:type="dxa"/>
        <w:tblInd w:w="108" w:type="dxa"/>
        <w:tblLayout w:type="fixed"/>
        <w:tblLook w:val="04A0"/>
      </w:tblPr>
      <w:tblGrid>
        <w:gridCol w:w="5811"/>
        <w:gridCol w:w="4787"/>
        <w:gridCol w:w="4330"/>
      </w:tblGrid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транспорта Архангельской области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</w:t>
            </w:r>
          </w:p>
        </w:tc>
      </w:tr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/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декабря 2018 года № 9</w:t>
            </w:r>
          </w:p>
        </w:tc>
      </w:tr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EC228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Попов</w:t>
            </w:r>
          </w:p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833C0">
        <w:tc>
          <w:tcPr>
            <w:tcW w:w="5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/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833C0" w:rsidRDefault="00C833C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833C0" w:rsidRDefault="00C833C0">
      <w:pPr>
        <w:widowControl w:val="0"/>
        <w:ind w:left="10773" w:right="-597"/>
        <w:jc w:val="center"/>
        <w:rPr>
          <w:rFonts w:ascii="Times New Roman" w:hAnsi="Times New Roman" w:cs="Times New Roman"/>
          <w:sz w:val="28"/>
          <w:szCs w:val="28"/>
        </w:rPr>
      </w:pPr>
    </w:p>
    <w:p w:rsidR="00C833C0" w:rsidRDefault="00C833C0">
      <w:pPr>
        <w:rPr>
          <w:rFonts w:ascii="Times New Roman" w:hAnsi="Times New Roman" w:cs="Times New Roman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8"/>
      </w:tblGrid>
      <w:tr w:rsidR="00C833C0">
        <w:trPr>
          <w:trHeight w:val="387"/>
        </w:trPr>
        <w:tc>
          <w:tcPr>
            <w:tcW w:w="15618" w:type="dxa"/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А С П О Р Т</w:t>
            </w:r>
          </w:p>
        </w:tc>
      </w:tr>
      <w:tr w:rsidR="00C833C0">
        <w:trPr>
          <w:trHeight w:val="43"/>
        </w:trPr>
        <w:tc>
          <w:tcPr>
            <w:tcW w:w="15618" w:type="dxa"/>
            <w:noWrap/>
          </w:tcPr>
          <w:p w:rsidR="00C833C0" w:rsidRDefault="00C83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C0">
        <w:trPr>
          <w:trHeight w:val="387"/>
        </w:trPr>
        <w:tc>
          <w:tcPr>
            <w:tcW w:w="15618" w:type="dxa"/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C833C0">
        <w:trPr>
          <w:trHeight w:val="43"/>
        </w:trPr>
        <w:tc>
          <w:tcPr>
            <w:tcW w:w="15618" w:type="dxa"/>
            <w:noWrap/>
          </w:tcPr>
          <w:p w:rsidR="00C833C0" w:rsidRDefault="00C833C0">
            <w:pPr>
              <w:rPr>
                <w:rFonts w:ascii="Times New Roman" w:hAnsi="Times New Roman" w:cs="Times New Roman"/>
              </w:rPr>
            </w:pPr>
          </w:p>
        </w:tc>
      </w:tr>
    </w:tbl>
    <w:p w:rsidR="00C833C0" w:rsidRDefault="00C833C0">
      <w:pPr>
        <w:rPr>
          <w:rFonts w:ascii="Times New Roman" w:hAnsi="Times New Roman" w:cs="Times New Roman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2"/>
      </w:tblGrid>
      <w:tr w:rsidR="00C833C0">
        <w:trPr>
          <w:trHeight w:val="971"/>
          <w:tblHeader/>
        </w:trPr>
        <w:tc>
          <w:tcPr>
            <w:tcW w:w="14742" w:type="dxa"/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Региональная и местная дорожная сеть (Архангельская область)</w:t>
            </w:r>
          </w:p>
        </w:tc>
      </w:tr>
    </w:tbl>
    <w:p w:rsidR="00C833C0" w:rsidRDefault="00C833C0">
      <w:pPr>
        <w:rPr>
          <w:rFonts w:ascii="Times New Roman" w:hAnsi="Times New Roman" w:cs="Times New Roman"/>
        </w:rPr>
      </w:pPr>
    </w:p>
    <w:p w:rsidR="00C833C0" w:rsidRDefault="00C833C0">
      <w:pPr>
        <w:rPr>
          <w:rFonts w:ascii="Times New Roman" w:hAnsi="Times New Roman" w:cs="Times New Roman"/>
        </w:rPr>
      </w:pPr>
    </w:p>
    <w:p w:rsidR="00C833C0" w:rsidRDefault="00C833C0">
      <w:pPr>
        <w:rPr>
          <w:rFonts w:ascii="Times New Roman" w:hAnsi="Times New Roman" w:cs="Times New Roman"/>
        </w:rPr>
      </w:pPr>
    </w:p>
    <w:p w:rsidR="00C833C0" w:rsidRDefault="00EC228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C833C0" w:rsidRDefault="00C833C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9"/>
      </w:tblGrid>
      <w:tr w:rsidR="00C833C0">
        <w:trPr>
          <w:cantSplit/>
          <w:trHeight w:val="798"/>
        </w:trPr>
        <w:tc>
          <w:tcPr>
            <w:tcW w:w="5196" w:type="dxa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Региональная и местная дорожная сеть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(Архангельская область)</w:t>
            </w:r>
          </w:p>
        </w:tc>
        <w:tc>
          <w:tcPr>
            <w:tcW w:w="2249" w:type="dxa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825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03.12.2018</w:t>
            </w:r>
          </w:p>
        </w:tc>
        <w:tc>
          <w:tcPr>
            <w:tcW w:w="2039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31.12.2026</w:t>
            </w:r>
          </w:p>
        </w:tc>
      </w:tr>
      <w:tr w:rsidR="00C833C0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Рожин Дмитрий Васильевич 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highlight w:val="white"/>
              </w:rPr>
              <w:t>Заместитель Председателя Правительства Архангельской области</w:t>
            </w:r>
          </w:p>
        </w:tc>
      </w:tr>
      <w:tr w:rsidR="00C833C0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Роднев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Сергей Витальевич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Министр транспорта Архангельской области</w:t>
            </w:r>
          </w:p>
        </w:tc>
      </w:tr>
      <w:tr w:rsidR="00C833C0">
        <w:trPr>
          <w:cantSplit/>
          <w:trHeight w:val="399"/>
        </w:trPr>
        <w:tc>
          <w:tcPr>
            <w:tcW w:w="5196" w:type="dxa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528" w:type="dxa"/>
            <w:gridSpan w:val="2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Красавцев Дмитрий Александрович</w:t>
            </w:r>
          </w:p>
        </w:tc>
        <w:tc>
          <w:tcPr>
            <w:tcW w:w="6113" w:type="dxa"/>
            <w:gridSpan w:val="3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Заместитель министра транспорта Архангельской области</w:t>
            </w:r>
          </w:p>
        </w:tc>
      </w:tr>
      <w:tr w:rsidR="00C833C0">
        <w:trPr>
          <w:cantSplit/>
          <w:trHeight w:val="457"/>
        </w:trPr>
        <w:tc>
          <w:tcPr>
            <w:tcW w:w="5196" w:type="dxa"/>
            <w:vMerge w:val="restart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647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  <w:shd w:val="clear" w:color="auto" w:fill="auto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  <w:p w:rsidR="00C833C0" w:rsidRDefault="00C8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3" w:type="dxa"/>
            <w:gridSpan w:val="3"/>
            <w:shd w:val="clear" w:color="auto" w:fill="auto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транспортной системы Архангельской области</w:t>
            </w:r>
          </w:p>
          <w:p w:rsidR="00C833C0" w:rsidRDefault="00C833C0">
            <w:pPr>
              <w:rPr>
                <w:rFonts w:ascii="Times New Roman" w:hAnsi="Times New Roman" w:cs="Times New Roman"/>
              </w:rPr>
            </w:pPr>
          </w:p>
        </w:tc>
      </w:tr>
      <w:tr w:rsidR="00C833C0">
        <w:trPr>
          <w:cantSplit/>
          <w:trHeight w:val="1120"/>
        </w:trPr>
        <w:tc>
          <w:tcPr>
            <w:tcW w:w="5196" w:type="dxa"/>
            <w:vMerge/>
            <w:noWrap/>
          </w:tcPr>
          <w:p w:rsidR="00C833C0" w:rsidRDefault="00C833C0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113" w:type="dxa"/>
            <w:gridSpan w:val="3"/>
            <w:shd w:val="clear" w:color="auto" w:fill="FFFFFF" w:themeFill="background1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Российской Федерации «Развитие транспортной системы»</w:t>
            </w:r>
          </w:p>
        </w:tc>
      </w:tr>
    </w:tbl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  <w:sectPr w:rsidR="00C833C0">
          <w:headerReference w:type="default" r:id="rId7"/>
          <w:headerReference w:type="first" r:id="rId8"/>
          <w:footerReference w:type="first" r:id="rId9"/>
          <w:pgSz w:w="16838" w:h="11906" w:orient="landscape"/>
          <w:pgMar w:top="709" w:right="1134" w:bottom="0" w:left="1134" w:header="709" w:footer="709" w:gutter="0"/>
          <w:cols w:space="708"/>
          <w:titlePg/>
          <w:docGrid w:linePitch="360"/>
        </w:sectPr>
      </w:pPr>
    </w:p>
    <w:p w:rsidR="00C833C0" w:rsidRDefault="00EC228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225"/>
        <w:gridCol w:w="1047"/>
        <w:gridCol w:w="1014"/>
        <w:gridCol w:w="899"/>
        <w:gridCol w:w="751"/>
        <w:gridCol w:w="974"/>
        <w:gridCol w:w="974"/>
        <w:gridCol w:w="980"/>
        <w:gridCol w:w="1800"/>
        <w:gridCol w:w="1349"/>
        <w:gridCol w:w="1199"/>
        <w:gridCol w:w="1630"/>
      </w:tblGrid>
      <w:tr w:rsidR="00C833C0">
        <w:trPr>
          <w:trHeight w:val="340"/>
          <w:tblHeader/>
        </w:trPr>
        <w:tc>
          <w:tcPr>
            <w:tcW w:w="501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Показательрегионального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проекта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Уровень показателя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(по ОКЕИ)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2928" w:type="dxa"/>
            <w:gridSpan w:val="3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800" w:type="dxa"/>
            <w:vMerge w:val="restart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Признак возрастания/убывания 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муни-ципальные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образования Архангельской области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C0">
        <w:trPr>
          <w:trHeight w:val="538"/>
          <w:tblHeader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C0">
        <w:trPr>
          <w:trHeight w:val="91"/>
          <w:tblHeader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C833C0">
        <w:trPr>
          <w:trHeight w:val="446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842" w:type="dxa"/>
            <w:gridSpan w:val="12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Повышено качество дорожной сети, в том числе уличной сети, городских агломераций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225" w:type="dxa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дорожной сети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городских агломераций,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находящаяся в нормативном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состоянии</w:t>
            </w:r>
            <w:proofErr w:type="gramEnd"/>
          </w:p>
        </w:tc>
        <w:tc>
          <w:tcPr>
            <w:tcW w:w="104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63,8</w:t>
            </w:r>
          </w:p>
        </w:tc>
        <w:tc>
          <w:tcPr>
            <w:tcW w:w="75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85,2173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85,2173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</w:rPr>
              <w:t>СОУ «Эталон»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225" w:type="dxa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межмуниципального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значения,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соответствующих</w:t>
            </w:r>
            <w:proofErr w:type="gramEnd"/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нормативным требованиям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21,39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33,5800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36,41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СОУ «Эталон»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</w:t>
            </w:r>
          </w:p>
        </w:tc>
        <w:tc>
          <w:tcPr>
            <w:tcW w:w="2225" w:type="dxa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Осуществлено строительство и реконструкция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или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межмуниципального,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местного значения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(накопленным итогом)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Километр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2,9160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2,9160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СОУ «Эталон»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1.4.</w:t>
            </w:r>
          </w:p>
        </w:tc>
        <w:tc>
          <w:tcPr>
            <w:tcW w:w="2225" w:type="dxa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Доля автомобильных дорог регионального значения, входящих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опорную сеть, соответствующих нормативным требованиям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48,5911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white"/>
              </w:rPr>
              <w:t>2022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59,1261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66,5247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СОУ «Эталон»</w:t>
            </w:r>
          </w:p>
        </w:tc>
      </w:tr>
      <w:tr w:rsidR="00C833C0">
        <w:trPr>
          <w:trHeight w:val="153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</w:t>
            </w:r>
          </w:p>
        </w:tc>
        <w:tc>
          <w:tcPr>
            <w:tcW w:w="14842" w:type="dxa"/>
            <w:gridSpan w:val="12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Приведены в нормативное состояние/построены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2225" w:type="dxa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местного значения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Тысяча погонных метров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2,0493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3,0969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СОУ «Эталон»</w:t>
            </w:r>
          </w:p>
        </w:tc>
      </w:tr>
      <w:tr w:rsidR="00C833C0">
        <w:trPr>
          <w:trHeight w:val="12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842" w:type="dxa"/>
            <w:gridSpan w:val="12"/>
            <w:noWrap/>
            <w:vAlign w:val="center"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Повышение доли отечественного оборудования (товаров, работ, услуг) в общем объеме закупок</w:t>
            </w:r>
          </w:p>
        </w:tc>
      </w:tr>
      <w:tr w:rsidR="00C833C0">
        <w:trPr>
          <w:trHeight w:val="569"/>
        </w:trPr>
        <w:tc>
          <w:tcPr>
            <w:tcW w:w="5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2225" w:type="dxa"/>
            <w:noWrap/>
            <w:vAlign w:val="center"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Доля отечественного оборудования (товаров, работ, услуг) в общем объеме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закупок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Процент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97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980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4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99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630" w:type="dxa"/>
            <w:shd w:val="clear" w:color="FFFFFF" w:fill="FFFFFF" w:themeFill="background1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СОУ «Эталон»</w:t>
            </w:r>
          </w:p>
        </w:tc>
      </w:tr>
    </w:tbl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  <w:sectPr w:rsidR="00C833C0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C833C0" w:rsidRDefault="00EC228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План достижения показателей регионального проекта в 2024 году</w:t>
      </w:r>
    </w:p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C0" w:rsidRDefault="00C833C0">
      <w:pPr>
        <w:rPr>
          <w:rFonts w:ascii="Times New Roman" w:hAnsi="Times New Roman" w:cs="Times New Roman"/>
        </w:rPr>
      </w:pPr>
    </w:p>
    <w:tbl>
      <w:tblPr>
        <w:tblW w:w="153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4669"/>
        <w:gridCol w:w="1234"/>
        <w:gridCol w:w="1237"/>
        <w:gridCol w:w="548"/>
        <w:gridCol w:w="548"/>
        <w:gridCol w:w="548"/>
        <w:gridCol w:w="548"/>
        <w:gridCol w:w="549"/>
        <w:gridCol w:w="548"/>
        <w:gridCol w:w="548"/>
        <w:gridCol w:w="548"/>
        <w:gridCol w:w="548"/>
        <w:gridCol w:w="548"/>
        <w:gridCol w:w="576"/>
        <w:gridCol w:w="1432"/>
        <w:gridCol w:w="26"/>
      </w:tblGrid>
      <w:tr w:rsidR="00C833C0">
        <w:trPr>
          <w:trHeight w:val="417"/>
          <w:tblHeader/>
        </w:trPr>
        <w:tc>
          <w:tcPr>
            <w:tcW w:w="6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 регионального проекта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605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2024 года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blHeader/>
        </w:trPr>
        <w:tc>
          <w:tcPr>
            <w:tcW w:w="6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C8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C8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C8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C8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C833C0" w:rsidRDefault="00C8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62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Повышено качество дорожной сети, в том числе уличной сети, городских агломераци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649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дорожной сети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городских агломераций,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находящаяся в нормативном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состоянии</w:t>
            </w:r>
            <w:proofErr w:type="gram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85,2173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1019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автомобильных дорог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регионального 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межмуниципального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значения,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соответствующих</w:t>
            </w:r>
            <w:proofErr w:type="gramEnd"/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нормативным требованиям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33,5800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701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1.3.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Осуществлено строительство и реконструкция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или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межмуниципального,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местного значения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(накопленным итогом)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Километр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noWrap/>
            <w:tcMar>
              <w:top w:w="72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tcMar>
              <w:top w:w="72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2,9160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1019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1.4.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автомобильных дорог регионального значения, входящих в опорную сеть, соответствующих нормативным требованиям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59,1261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62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Приведены в нормативное состояние/построены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Протяженность приведенных в нормативное состояние искусственных сооружений на автомобильных дорогах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регионального или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межмуниципального и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местного значения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(накопленным итогом)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Тысяча погонных метров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2,0493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15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2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Повышение доли отечественного оборудования (товаров, работ, услуг) в общем объеме закупок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C0">
        <w:trPr>
          <w:trHeight w:val="233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72" w:type="dxa"/>
              <w:right w:w="72" w:type="dxa"/>
            </w:tcMar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отечественного оборудования (товаров, работ, услуг) в общем объеме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закупок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ФП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 w:themeFill="background1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noWrap/>
            <w:tcMar>
              <w:left w:w="0" w:type="dxa"/>
              <w:right w:w="0" w:type="dxa"/>
            </w:tcMar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noWrap/>
          </w:tcPr>
          <w:p w:rsidR="00C833C0" w:rsidRDefault="00C8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3C0" w:rsidRDefault="00C833C0">
      <w:pPr>
        <w:jc w:val="center"/>
        <w:rPr>
          <w:rFonts w:ascii="Times New Roman" w:hAnsi="Times New Roman" w:cs="Times New Roman"/>
          <w:sz w:val="28"/>
          <w:szCs w:val="28"/>
        </w:rPr>
        <w:sectPr w:rsidR="00C833C0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C833C0" w:rsidRDefault="00EC2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Мероприятия (результаты) регионального проекта</w:t>
      </w:r>
    </w:p>
    <w:p w:rsidR="00C833C0" w:rsidRDefault="00C833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2597"/>
        <w:gridCol w:w="875"/>
        <w:gridCol w:w="1014"/>
        <w:gridCol w:w="875"/>
        <w:gridCol w:w="604"/>
        <w:gridCol w:w="601"/>
        <w:gridCol w:w="678"/>
        <w:gridCol w:w="3698"/>
        <w:gridCol w:w="1960"/>
        <w:gridCol w:w="2098"/>
      </w:tblGrid>
      <w:tr w:rsidR="00C833C0">
        <w:trPr>
          <w:cantSplit/>
          <w:trHeight w:val="857"/>
          <w:tblHeader/>
        </w:trPr>
        <w:tc>
          <w:tcPr>
            <w:tcW w:w="407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7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875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89" w:type="dxa"/>
            <w:gridSpan w:val="2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83" w:type="dxa"/>
            <w:gridSpan w:val="3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69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Декомпозиция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муниципальные образования Архангельской области</w:t>
            </w:r>
          </w:p>
        </w:tc>
      </w:tr>
      <w:tr w:rsidR="00C833C0">
        <w:trPr>
          <w:trHeight w:val="336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2025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2026</w:t>
            </w: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0">
        <w:trPr>
          <w:trHeight w:val="408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EC2287">
            <w:pPr>
              <w:spacing w:line="240" w:lineRule="atLeast"/>
              <w:ind w:left="-2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0">
        <w:trPr>
          <w:cantSplit/>
          <w:trHeight w:val="50"/>
        </w:trPr>
        <w:tc>
          <w:tcPr>
            <w:tcW w:w="407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Повышено качество дорожной сети, в том числе уличной сети, городских агломераций</w:t>
            </w:r>
          </w:p>
        </w:tc>
      </w:tr>
      <w:tr w:rsidR="00C833C0">
        <w:trPr>
          <w:trHeight w:val="1252"/>
        </w:trPr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</w:p>
        </w:tc>
        <w:tc>
          <w:tcPr>
            <w:tcW w:w="259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соответствии с программами дорожной деятельности на текущий год субъектами Российской Федерации выполнены дорожные работы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штука</w:t>
            </w:r>
          </w:p>
        </w:tc>
        <w:tc>
          <w:tcPr>
            <w:tcW w:w="101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2018</w:t>
            </w:r>
          </w:p>
        </w:tc>
        <w:tc>
          <w:tcPr>
            <w:tcW w:w="60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  <w:tc>
          <w:tcPr>
            <w:tcW w:w="3698" w:type="dxa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C833C0" w:rsidRDefault="00C833C0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1) в части автомобильных дорог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реализуется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 путем предоставления 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соответствии с Порядком предоставления иных межбюджетных трансфертов бюджетам муниципальных образований на финансовое обеспечение дорожной деятельности в рамках реализации национального проекта «Безопасные качественные дороги», утвержденным постановлением Правительства Архангельской области;</w:t>
            </w:r>
          </w:p>
          <w:p w:rsidR="00C833C0" w:rsidRDefault="00C833C0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2) в части автомобильных дорог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регионального или межмуниципального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значенияреализуется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государственным казенным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 xml:space="preserve">учреждением Архангельской области «Дорожное агентство </w:t>
            </w:r>
            <w:r w:rsidRPr="00EC228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Архангельскавтодор</w:t>
            </w:r>
            <w:proofErr w:type="spellEnd"/>
            <w:r w:rsidRPr="00EC228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», подведомственным министерству транспорта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основании положений Гражданского кодекса, Градостроительного кодекса Российской Федерации в соответствии с требованиями Федерального закона от 5 апреля 2013 года № 44-ФЗпутем заключения государственных контрактов. Расходы осуществляются за счет средств дорожного фонда Архангельской области</w:t>
            </w:r>
          </w:p>
        </w:tc>
        <w:tc>
          <w:tcPr>
            <w:tcW w:w="1960" w:type="dxa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C833C0">
        <w:trPr>
          <w:trHeight w:val="685"/>
        </w:trPr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9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Субъектами Российской Федерации выполнены работы по строительству и реконструкции автомобильных дорог регионального или межмуниципального, местного значения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1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60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698" w:type="dxa"/>
            <w:noWrap/>
          </w:tcPr>
          <w:p w:rsidR="00C833C0" w:rsidRDefault="00EC2287">
            <w:pPr>
              <w:spacing w:line="23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C833C0" w:rsidRDefault="00C833C0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осуществляется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от 17 января 2008 года № 6-па/1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осуществлялись в 2022 и 2023 годах за счет средств дорожного фонда Архангельской области</w:t>
            </w:r>
          </w:p>
        </w:tc>
        <w:tc>
          <w:tcPr>
            <w:tcW w:w="1960" w:type="dxa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209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C833C0">
        <w:trPr>
          <w:trHeight w:val="627"/>
        </w:trPr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00" w:type="dxa"/>
            <w:gridSpan w:val="10"/>
            <w:noWrap/>
            <w:vAlign w:val="center"/>
          </w:tcPr>
          <w:p w:rsidR="00C833C0" w:rsidRDefault="00EC2287">
            <w:pPr>
              <w:spacing w:line="17" w:lineRule="atLeast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Приведены в нормативное состояние/построены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 w:rsidR="00C833C0"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</w:t>
            </w:r>
          </w:p>
        </w:tc>
        <w:tc>
          <w:tcPr>
            <w:tcW w:w="259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1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60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  <w:tc>
          <w:tcPr>
            <w:tcW w:w="3698" w:type="dxa"/>
            <w:noWrap/>
          </w:tcPr>
          <w:p w:rsidR="00C833C0" w:rsidRDefault="00EC2287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C833C0" w:rsidRDefault="00C833C0">
            <w:pPr>
              <w:spacing w:line="230" w:lineRule="auto"/>
              <w:rPr>
                <w:sz w:val="24"/>
                <w:szCs w:val="24"/>
              </w:rPr>
            </w:pP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1) в части автомобильных дорог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реализуется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путем предоставления иных межбюджетных трансфертов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Порядкомпредоставления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иных межбюджетных трансфертов из областного бюджета бюджетам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муниципальных районов, муниципальных округов и городских округов Архангельской области на проектирование, капитальный ремонт и ремонт искусственных сооружений на автомобильных дорогах общего пользования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твержденным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постановлением Правительства Архангельской области;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2) в части автомобильных дорог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</w:rPr>
              <w:t>регионального или межмуниципального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значенияреализуется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государственным казенным учреждением Архангельской области «Дорожное агентство </w:t>
            </w:r>
            <w:r w:rsidRPr="00EC228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Архангельскавтодор</w:t>
            </w:r>
            <w:proofErr w:type="spellEnd"/>
            <w:r w:rsidRPr="00EC228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», подведомственным министерству транспорта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основании положений Гражданского кодекса, Градостроительного кодекса Российской Федерации в соответствии с требованиями Федерального закона от 5 апреля 2013 года № 44-ФЗ путем заключения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контрактов.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Расходы осуществляются за счет средств дорожного фонда Архангельской области</w:t>
            </w: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  <w:color w:val="8496B0"/>
                <w:highlight w:val="red"/>
              </w:rPr>
            </w:pPr>
          </w:p>
        </w:tc>
        <w:tc>
          <w:tcPr>
            <w:tcW w:w="1960" w:type="dxa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209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C833C0">
        <w:trPr>
          <w:trHeight w:val="390"/>
        </w:trPr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00" w:type="dxa"/>
            <w:gridSpan w:val="10"/>
            <w:noWrap/>
            <w:vAlign w:val="center"/>
          </w:tcPr>
          <w:p w:rsidR="00C833C0" w:rsidRDefault="00EC2287">
            <w:pPr>
              <w:spacing w:line="17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доли отечественного оборудования (товаров, работ, услуг) в общем объеме закупок</w:t>
            </w:r>
          </w:p>
        </w:tc>
      </w:tr>
      <w:tr w:rsidR="00C833C0">
        <w:tc>
          <w:tcPr>
            <w:tcW w:w="40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</w:t>
            </w:r>
          </w:p>
        </w:tc>
        <w:tc>
          <w:tcPr>
            <w:tcW w:w="259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Субъектами Российской Федерации заключены контракты (доведены государственные задания учреждениям), предусматривающие закупку отечественного оборудования (товаров, работ, услуг) в рамках федерального проекта «Региональная и местная дорожная сеть»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101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604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01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  <w:tc>
          <w:tcPr>
            <w:tcW w:w="3698" w:type="dxa"/>
            <w:noWrap/>
          </w:tcPr>
          <w:p w:rsidR="00C833C0" w:rsidRDefault="00EC2287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1.Реализация за счет средств федерального бюджета (нет)</w:t>
            </w:r>
          </w:p>
          <w:p w:rsidR="00C833C0" w:rsidRDefault="00C833C0">
            <w:pPr>
              <w:spacing w:line="230" w:lineRule="auto"/>
              <w:rPr>
                <w:sz w:val="24"/>
                <w:szCs w:val="24"/>
              </w:rPr>
            </w:pP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2.Механизм реализации мероприятия (результата):</w:t>
            </w:r>
          </w:p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Достижение результата 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  <w:tc>
          <w:tcPr>
            <w:tcW w:w="1960" w:type="dxa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09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:rsidR="00C833C0" w:rsidRDefault="00C833C0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C833C0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C833C0" w:rsidRDefault="00EC228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C833C0" w:rsidRDefault="00C833C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6"/>
        <w:gridCol w:w="6404"/>
        <w:gridCol w:w="1417"/>
        <w:gridCol w:w="1276"/>
        <w:gridCol w:w="1318"/>
        <w:gridCol w:w="1374"/>
        <w:gridCol w:w="2023"/>
      </w:tblGrid>
      <w:tr w:rsidR="00C833C0">
        <w:trPr>
          <w:cantSplit/>
          <w:trHeight w:val="415"/>
          <w:tblHeader/>
        </w:trPr>
        <w:tc>
          <w:tcPr>
            <w:tcW w:w="1136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4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011" w:type="dxa"/>
            <w:gridSpan w:val="3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74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23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C833C0">
        <w:trPr>
          <w:cantSplit/>
          <w:trHeight w:val="216"/>
          <w:tblHeader/>
        </w:trPr>
        <w:tc>
          <w:tcPr>
            <w:tcW w:w="1136" w:type="dxa"/>
            <w:vMerge/>
            <w:noWrap/>
            <w:vAlign w:val="center"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vMerge/>
            <w:noWrap/>
            <w:vAlign w:val="center"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8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74" w:type="dxa"/>
            <w:vMerge/>
            <w:noWrap/>
            <w:vAlign w:val="center"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noWrap/>
          </w:tcPr>
          <w:p w:rsidR="00C833C0" w:rsidRDefault="00C833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0">
        <w:trPr>
          <w:cantSplit/>
          <w:trHeight w:val="292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соответствии с программами дорожной деятельности на текущий год субъектами Российской Федерации выполнены дорожные работы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4 818 068,3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3 382 928,2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4 168 537,7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12 369 534,2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cantSplit/>
          <w:trHeight w:val="252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4 108 068,3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3 382 928,2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4 168 537,7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11 659 534,2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cantSplit/>
          <w:trHeight w:val="383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710 000,0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710 000,0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EC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trHeight w:val="383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Субъектами Российской Федерации выполнены работы по строительству и реконструкции автомобильных дорог регионального или межмуниципального, местного значения</w:t>
            </w:r>
          </w:p>
        </w:tc>
        <w:tc>
          <w:tcPr>
            <w:tcW w:w="1417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76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023" w:type="dxa"/>
            <w:shd w:val="clear" w:color="FFFFFF" w:fill="FFFFFF" w:themeFill="background1"/>
            <w:noWrap/>
          </w:tcPr>
          <w:p w:rsidR="00C833C0" w:rsidRDefault="00EC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trHeight w:val="383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1417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1 736 451,3</w:t>
            </w:r>
          </w:p>
        </w:tc>
        <w:tc>
          <w:tcPr>
            <w:tcW w:w="1276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3 958 757,4</w:t>
            </w:r>
          </w:p>
        </w:tc>
        <w:tc>
          <w:tcPr>
            <w:tcW w:w="131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5 695 208,7</w:t>
            </w: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023" w:type="dxa"/>
            <w:shd w:val="clear" w:color="FFFFFF" w:fill="FFFFFF" w:themeFill="background1"/>
            <w:noWrap/>
          </w:tcPr>
          <w:p w:rsidR="00C833C0" w:rsidRDefault="00EC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trHeight w:val="383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1 736 451,3</w:t>
            </w:r>
          </w:p>
        </w:tc>
        <w:tc>
          <w:tcPr>
            <w:tcW w:w="1276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3 958 757,4</w:t>
            </w:r>
          </w:p>
        </w:tc>
        <w:tc>
          <w:tcPr>
            <w:tcW w:w="131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5 695 208,7</w:t>
            </w: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C833C0" w:rsidRDefault="00C833C0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023" w:type="dxa"/>
            <w:shd w:val="clear" w:color="FFFFFF" w:fill="FFFFFF" w:themeFill="background1"/>
            <w:noWrap/>
          </w:tcPr>
          <w:p w:rsidR="00C833C0" w:rsidRDefault="00EC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trHeight w:val="1266"/>
        </w:trPr>
        <w:tc>
          <w:tcPr>
            <w:tcW w:w="1136" w:type="dxa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04" w:type="dxa"/>
            <w:noWrap/>
          </w:tcPr>
          <w:p w:rsidR="00C833C0" w:rsidRDefault="00EC228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Субъектами Российской Федерации заключены контракты (доведены государственные задания учреждениям), предусматривающие закупку отечественного оборудования (товаров, работ, услуг) в рамках федерального проекта «Региональная и местная дорожная сеть»</w:t>
            </w:r>
          </w:p>
        </w:tc>
        <w:tc>
          <w:tcPr>
            <w:tcW w:w="1417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76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FFFFFF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FFFFFF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023" w:type="dxa"/>
            <w:shd w:val="clear" w:color="FFFFFF" w:fill="FFFFFF" w:themeFill="background1"/>
            <w:noWrap/>
          </w:tcPr>
          <w:p w:rsidR="00C833C0" w:rsidRDefault="00EC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C833C0">
        <w:trPr>
          <w:cantSplit/>
          <w:trHeight w:val="292"/>
        </w:trPr>
        <w:tc>
          <w:tcPr>
            <w:tcW w:w="7540" w:type="dxa"/>
            <w:gridSpan w:val="2"/>
            <w:noWrap/>
            <w:vAlign w:val="center"/>
          </w:tcPr>
          <w:p w:rsidR="00C833C0" w:rsidRDefault="00EC2287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региональному проекту: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6 554 519,6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7 341 685,6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4 168 537,7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18 064 742,9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833C0">
        <w:trPr>
          <w:cantSplit/>
          <w:trHeight w:val="256"/>
        </w:trPr>
        <w:tc>
          <w:tcPr>
            <w:tcW w:w="7540" w:type="dxa"/>
            <w:gridSpan w:val="2"/>
            <w:noWrap/>
          </w:tcPr>
          <w:p w:rsidR="00C833C0" w:rsidRDefault="00EC2287">
            <w:pPr>
              <w:spacing w:line="240" w:lineRule="atLeas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5 844 519,6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7 341685,6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4 168537,7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17 354 742,9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833C0">
        <w:trPr>
          <w:cantSplit/>
          <w:trHeight w:val="256"/>
        </w:trPr>
        <w:tc>
          <w:tcPr>
            <w:tcW w:w="7540" w:type="dxa"/>
            <w:gridSpan w:val="2"/>
            <w:noWrap/>
          </w:tcPr>
          <w:p w:rsidR="00C833C0" w:rsidRDefault="00EC2287">
            <w:pPr>
              <w:spacing w:line="240" w:lineRule="atLeast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710 000,0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auto" w:fill="FFFFFF" w:themeFill="background1"/>
            <w:noWrap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710 000,0</w:t>
            </w:r>
          </w:p>
        </w:tc>
        <w:tc>
          <w:tcPr>
            <w:tcW w:w="2023" w:type="dxa"/>
            <w:shd w:val="clear" w:color="auto" w:fill="FFFFFF" w:themeFill="background1"/>
            <w:noWrap/>
          </w:tcPr>
          <w:p w:rsidR="00C833C0" w:rsidRDefault="00C833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C833C0" w:rsidRDefault="00C833C0">
      <w:pPr>
        <w:jc w:val="center"/>
        <w:rPr>
          <w:rFonts w:ascii="Times New Roman" w:hAnsi="Times New Roman" w:cs="Times New Roman"/>
          <w:sz w:val="28"/>
          <w:szCs w:val="28"/>
        </w:rPr>
        <w:sectPr w:rsidR="00C833C0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C833C0" w:rsidRDefault="00EC2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2024году</w:t>
      </w:r>
    </w:p>
    <w:p w:rsidR="00C833C0" w:rsidRDefault="00C833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2"/>
        <w:gridCol w:w="4427"/>
        <w:gridCol w:w="745"/>
        <w:gridCol w:w="888"/>
        <w:gridCol w:w="688"/>
        <w:gridCol w:w="747"/>
        <w:gridCol w:w="688"/>
        <w:gridCol w:w="688"/>
        <w:gridCol w:w="688"/>
        <w:gridCol w:w="706"/>
        <w:gridCol w:w="965"/>
        <w:gridCol w:w="860"/>
        <w:gridCol w:w="767"/>
        <w:gridCol w:w="2237"/>
      </w:tblGrid>
      <w:tr w:rsidR="00C833C0">
        <w:trPr>
          <w:cantSplit/>
          <w:trHeight w:val="458"/>
          <w:tblHeader/>
        </w:trPr>
        <w:tc>
          <w:tcPr>
            <w:tcW w:w="712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7" w:type="dxa"/>
            <w:vMerge w:val="restart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7572" w:type="dxa"/>
            <w:gridSpan w:val="11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исполнения нарастающим итогом (тыс. рублей)</w:t>
            </w:r>
          </w:p>
        </w:tc>
        <w:tc>
          <w:tcPr>
            <w:tcW w:w="2237" w:type="dxa"/>
            <w:vMerge w:val="restart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 (тыс. рублей)</w:t>
            </w:r>
          </w:p>
        </w:tc>
      </w:tr>
      <w:tr w:rsidR="00C833C0">
        <w:trPr>
          <w:cantSplit/>
          <w:tblHeader/>
        </w:trPr>
        <w:tc>
          <w:tcPr>
            <w:tcW w:w="712" w:type="dxa"/>
            <w:vMerge/>
            <w:noWrap/>
            <w:vAlign w:val="center"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vMerge/>
            <w:noWrap/>
            <w:vAlign w:val="center"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2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vMerge/>
            <w:noWrap/>
            <w:vAlign w:val="center"/>
          </w:tcPr>
          <w:p w:rsidR="00C833C0" w:rsidRDefault="00C833C0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3C0">
        <w:trPr>
          <w:cantSplit/>
          <w:trHeight w:val="195"/>
        </w:trPr>
        <w:tc>
          <w:tcPr>
            <w:tcW w:w="712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  <w:noWrap/>
            <w:vAlign w:val="center"/>
          </w:tcPr>
          <w:p w:rsidR="00C833C0" w:rsidRDefault="00EC2287">
            <w:pPr>
              <w:spacing w:line="1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88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92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237" w:type="dxa"/>
            <w:noWrap/>
            <w:vAlign w:val="center"/>
          </w:tcPr>
          <w:p w:rsidR="00C833C0" w:rsidRDefault="00EC228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C833C0" w:rsidRDefault="00C83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3C0" w:rsidRDefault="00EC228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 реализации регионального проекта</w:t>
      </w:r>
    </w:p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C0" w:rsidRDefault="00C833C0">
      <w:pPr>
        <w:jc w:val="center"/>
        <w:rPr>
          <w:rFonts w:ascii="Times New Roman" w:hAnsi="Times New Roman" w:cs="Times New Roman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894"/>
        <w:gridCol w:w="2082"/>
        <w:gridCol w:w="3136"/>
        <w:gridCol w:w="1387"/>
        <w:gridCol w:w="1908"/>
        <w:gridCol w:w="1661"/>
        <w:gridCol w:w="2127"/>
      </w:tblGrid>
      <w:tr w:rsidR="00C833C0">
        <w:trPr>
          <w:trHeight w:val="547"/>
          <w:tblHeader/>
        </w:trPr>
        <w:tc>
          <w:tcPr>
            <w:tcW w:w="717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4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2082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136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387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08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характеристика </w:t>
            </w:r>
          </w:p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661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2127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C833C0">
        <w:trPr>
          <w:trHeight w:val="547"/>
          <w:tblHeader/>
        </w:trPr>
        <w:tc>
          <w:tcPr>
            <w:tcW w:w="717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4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2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6" w:type="dxa"/>
            <w:noWrap/>
            <w:vAlign w:val="center"/>
          </w:tcPr>
          <w:p w:rsidR="00C833C0" w:rsidRDefault="00EC228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7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noWrap/>
            <w:vAlign w:val="center"/>
          </w:tcPr>
          <w:p w:rsidR="00C833C0" w:rsidRDefault="00EC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33C0" w:rsidRDefault="00EC2287">
      <w:pPr>
        <w:pStyle w:val="af6"/>
        <w:jc w:val="center"/>
        <w:rPr>
          <w:sz w:val="28"/>
          <w:szCs w:val="28"/>
        </w:rPr>
      </w:pPr>
      <w:r>
        <w:rPr>
          <w:sz w:val="28"/>
          <w:szCs w:val="16"/>
        </w:rPr>
        <w:t>__________________</w:t>
      </w:r>
    </w:p>
    <w:p w:rsidR="00C833C0" w:rsidRDefault="00C833C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C0" w:rsidRDefault="00C833C0">
      <w:pPr>
        <w:rPr>
          <w:rFonts w:ascii="Times New Roman" w:hAnsi="Times New Roman" w:cs="Times New Roman"/>
        </w:rPr>
      </w:pPr>
    </w:p>
    <w:sectPr w:rsidR="00C833C0" w:rsidSect="00C833C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C0" w:rsidRDefault="00EC2287">
      <w:r>
        <w:separator/>
      </w:r>
    </w:p>
  </w:endnote>
  <w:endnote w:type="continuationSeparator" w:id="0">
    <w:p w:rsidR="00C833C0" w:rsidRDefault="00EC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0" w:rsidRDefault="00C83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C0" w:rsidRDefault="00EC2287">
      <w:r>
        <w:separator/>
      </w:r>
    </w:p>
  </w:footnote>
  <w:footnote w:type="continuationSeparator" w:id="0">
    <w:p w:rsidR="00C833C0" w:rsidRDefault="00EC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0" w:rsidRDefault="00DC15F5">
    <w:pPr>
      <w:pStyle w:val="Header"/>
      <w:jc w:val="center"/>
      <w:rPr>
        <w:rFonts w:ascii="Times New Roman" w:hAnsi="Times New Roman" w:cs="Times New Roman"/>
        <w:sz w:val="22"/>
      </w:rPr>
    </w:pPr>
    <w:r>
      <w:fldChar w:fldCharType="begin"/>
    </w:r>
    <w:r w:rsidR="00EC2287">
      <w:instrText>PAGE \* MERGEFORMAT</w:instrText>
    </w:r>
    <w:r>
      <w:fldChar w:fldCharType="separate"/>
    </w:r>
    <w:r w:rsidR="00DE7A39" w:rsidRPr="00DE7A39">
      <w:rPr>
        <w:rFonts w:ascii="Times New Roman" w:hAnsi="Times New Roman" w:cs="Times New Roman"/>
        <w:noProof/>
        <w:sz w:val="22"/>
      </w:rPr>
      <w:t>2</w:t>
    </w:r>
    <w:r>
      <w:fldChar w:fldCharType="end"/>
    </w:r>
  </w:p>
  <w:p w:rsidR="00C833C0" w:rsidRDefault="00C833C0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0" w:rsidRDefault="00C833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5BF4"/>
    <w:multiLevelType w:val="hybridMultilevel"/>
    <w:tmpl w:val="76147D40"/>
    <w:lvl w:ilvl="0" w:tplc="8E781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EDA84">
      <w:start w:val="1"/>
      <w:numFmt w:val="lowerLetter"/>
      <w:lvlText w:val="%2."/>
      <w:lvlJc w:val="left"/>
      <w:pPr>
        <w:ind w:left="1440" w:hanging="360"/>
      </w:pPr>
    </w:lvl>
    <w:lvl w:ilvl="2" w:tplc="838ADCB2">
      <w:start w:val="1"/>
      <w:numFmt w:val="lowerRoman"/>
      <w:lvlText w:val="%3."/>
      <w:lvlJc w:val="right"/>
      <w:pPr>
        <w:ind w:left="2160" w:hanging="180"/>
      </w:pPr>
    </w:lvl>
    <w:lvl w:ilvl="3" w:tplc="33384C86">
      <w:start w:val="1"/>
      <w:numFmt w:val="decimal"/>
      <w:lvlText w:val="%4."/>
      <w:lvlJc w:val="left"/>
      <w:pPr>
        <w:ind w:left="2880" w:hanging="360"/>
      </w:pPr>
    </w:lvl>
    <w:lvl w:ilvl="4" w:tplc="07209FAE">
      <w:start w:val="1"/>
      <w:numFmt w:val="lowerLetter"/>
      <w:lvlText w:val="%5."/>
      <w:lvlJc w:val="left"/>
      <w:pPr>
        <w:ind w:left="3600" w:hanging="360"/>
      </w:pPr>
    </w:lvl>
    <w:lvl w:ilvl="5" w:tplc="4150EF4C">
      <w:start w:val="1"/>
      <w:numFmt w:val="lowerRoman"/>
      <w:lvlText w:val="%6."/>
      <w:lvlJc w:val="right"/>
      <w:pPr>
        <w:ind w:left="4320" w:hanging="180"/>
      </w:pPr>
    </w:lvl>
    <w:lvl w:ilvl="6" w:tplc="EA266C4C">
      <w:start w:val="1"/>
      <w:numFmt w:val="decimal"/>
      <w:lvlText w:val="%7."/>
      <w:lvlJc w:val="left"/>
      <w:pPr>
        <w:ind w:left="5040" w:hanging="360"/>
      </w:pPr>
    </w:lvl>
    <w:lvl w:ilvl="7" w:tplc="0D480610">
      <w:start w:val="1"/>
      <w:numFmt w:val="lowerLetter"/>
      <w:lvlText w:val="%8."/>
      <w:lvlJc w:val="left"/>
      <w:pPr>
        <w:ind w:left="5760" w:hanging="360"/>
      </w:pPr>
    </w:lvl>
    <w:lvl w:ilvl="8" w:tplc="0D7474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3C0"/>
    <w:rsid w:val="00C833C0"/>
    <w:rsid w:val="00DC15F5"/>
    <w:rsid w:val="00DE7A39"/>
    <w:rsid w:val="00EC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833C0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833C0"/>
    <w:rPr>
      <w:i/>
      <w:iCs/>
      <w:color w:val="808080" w:themeColor="text1" w:themeTint="7F"/>
    </w:rPr>
  </w:style>
  <w:style w:type="character" w:styleId="a4">
    <w:name w:val="Emphasis"/>
    <w:uiPriority w:val="20"/>
    <w:qFormat/>
    <w:rsid w:val="00C833C0"/>
    <w:rPr>
      <w:i/>
      <w:iCs/>
    </w:rPr>
  </w:style>
  <w:style w:type="character" w:styleId="a5">
    <w:name w:val="Intense Emphasis"/>
    <w:uiPriority w:val="21"/>
    <w:qFormat/>
    <w:rsid w:val="00C833C0"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sid w:val="00C833C0"/>
    <w:rPr>
      <w:b/>
      <w:bCs/>
    </w:rPr>
  </w:style>
  <w:style w:type="character" w:styleId="a7">
    <w:name w:val="Subtle Reference"/>
    <w:uiPriority w:val="31"/>
    <w:qFormat/>
    <w:rsid w:val="00C833C0"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sid w:val="00C833C0"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sid w:val="00C833C0"/>
    <w:rPr>
      <w:b/>
      <w:bCs/>
      <w:smallCaps/>
      <w:spacing w:val="5"/>
    </w:rPr>
  </w:style>
  <w:style w:type="paragraph" w:styleId="aa">
    <w:name w:val="Plain Text"/>
    <w:link w:val="ab"/>
    <w:uiPriority w:val="99"/>
    <w:semiHidden/>
    <w:unhideWhenUsed/>
    <w:rsid w:val="00C833C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sid w:val="00C833C0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833C0"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33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33C0"/>
    <w:pPr>
      <w:keepNext/>
      <w:keepLines/>
      <w:spacing w:before="360" w:after="200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33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33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33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33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833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833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833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33C0"/>
    <w:pPr>
      <w:keepNext/>
      <w:keepLines/>
      <w:spacing w:before="320" w:after="200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33C0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rsid w:val="00C833C0"/>
    <w:pPr>
      <w:ind w:left="720"/>
      <w:contextualSpacing/>
    </w:pPr>
  </w:style>
  <w:style w:type="paragraph" w:styleId="ad">
    <w:name w:val="No Spacing"/>
    <w:uiPriority w:val="1"/>
    <w:qFormat/>
    <w:rsid w:val="00C833C0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C833C0"/>
    <w:pPr>
      <w:spacing w:before="300" w:after="200"/>
      <w:contextualSpacing/>
    </w:pPr>
    <w:rPr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C833C0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C833C0"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833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33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33C0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C83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sid w:val="00C833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33C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33C0"/>
  </w:style>
  <w:style w:type="paragraph" w:customStyle="1" w:styleId="Footer">
    <w:name w:val="Footer"/>
    <w:basedOn w:val="a"/>
    <w:link w:val="CaptionChar"/>
    <w:uiPriority w:val="99"/>
    <w:unhideWhenUsed/>
    <w:rsid w:val="00C833C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33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33C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33C0"/>
  </w:style>
  <w:style w:type="table" w:styleId="af4">
    <w:name w:val="Table Grid"/>
    <w:basedOn w:val="a1"/>
    <w:uiPriority w:val="59"/>
    <w:rsid w:val="00C833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33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33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3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link w:val="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33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3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sid w:val="00C833C0"/>
    <w:rPr>
      <w:color w:val="0563C1" w:themeColor="hyperlink"/>
      <w:u w:val="single"/>
    </w:rPr>
  </w:style>
  <w:style w:type="character" w:customStyle="1" w:styleId="FootnoteTextChar">
    <w:name w:val="Footnote Text Char"/>
    <w:link w:val="af6"/>
    <w:uiPriority w:val="99"/>
    <w:rsid w:val="00C833C0"/>
    <w:rPr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C833C0"/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C833C0"/>
    <w:rPr>
      <w:sz w:val="20"/>
    </w:rPr>
  </w:style>
  <w:style w:type="character" w:styleId="af9">
    <w:name w:val="endnote reference"/>
    <w:basedOn w:val="a0"/>
    <w:uiPriority w:val="99"/>
    <w:semiHidden/>
    <w:unhideWhenUsed/>
    <w:rsid w:val="00C833C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833C0"/>
    <w:pPr>
      <w:spacing w:after="57"/>
    </w:pPr>
  </w:style>
  <w:style w:type="paragraph" w:styleId="21">
    <w:name w:val="toc 2"/>
    <w:basedOn w:val="a"/>
    <w:next w:val="a"/>
    <w:uiPriority w:val="39"/>
    <w:unhideWhenUsed/>
    <w:rsid w:val="00C833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33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33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33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33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33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33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33C0"/>
    <w:pPr>
      <w:spacing w:after="57"/>
      <w:ind w:left="2268"/>
    </w:pPr>
  </w:style>
  <w:style w:type="paragraph" w:styleId="afa">
    <w:name w:val="TOC Heading"/>
    <w:uiPriority w:val="39"/>
    <w:unhideWhenUsed/>
    <w:rsid w:val="00C833C0"/>
  </w:style>
  <w:style w:type="paragraph" w:styleId="afb">
    <w:name w:val="table of figures"/>
    <w:basedOn w:val="a"/>
    <w:next w:val="a"/>
    <w:uiPriority w:val="99"/>
    <w:unhideWhenUsed/>
    <w:rsid w:val="00C833C0"/>
  </w:style>
  <w:style w:type="paragraph" w:styleId="af6">
    <w:name w:val="footnote text"/>
    <w:basedOn w:val="a"/>
    <w:link w:val="afc"/>
    <w:uiPriority w:val="99"/>
    <w:rsid w:val="00C833C0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сноски Знак"/>
    <w:basedOn w:val="a0"/>
    <w:link w:val="af6"/>
    <w:uiPriority w:val="99"/>
    <w:rsid w:val="00C83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uiPriority w:val="99"/>
    <w:unhideWhenUsed/>
    <w:rsid w:val="00C833C0"/>
    <w:rPr>
      <w:vertAlign w:val="superscript"/>
    </w:rPr>
  </w:style>
  <w:style w:type="character" w:customStyle="1" w:styleId="Annotationreference">
    <w:name w:val="Annotation reference"/>
    <w:basedOn w:val="a0"/>
    <w:uiPriority w:val="99"/>
    <w:semiHidden/>
    <w:unhideWhenUsed/>
    <w:rsid w:val="00C833C0"/>
    <w:rPr>
      <w:sz w:val="16"/>
      <w:szCs w:val="16"/>
    </w:rPr>
  </w:style>
  <w:style w:type="paragraph" w:customStyle="1" w:styleId="Annotationtext">
    <w:name w:val="Annotation text"/>
    <w:basedOn w:val="a"/>
    <w:link w:val="afe"/>
    <w:uiPriority w:val="99"/>
    <w:semiHidden/>
    <w:unhideWhenUsed/>
    <w:rsid w:val="00C833C0"/>
    <w:rPr>
      <w:sz w:val="20"/>
      <w:szCs w:val="20"/>
    </w:rPr>
  </w:style>
  <w:style w:type="character" w:customStyle="1" w:styleId="afe">
    <w:name w:val="Текст примечания Знак"/>
    <w:basedOn w:val="a0"/>
    <w:link w:val="Annotationtext"/>
    <w:uiPriority w:val="99"/>
    <w:semiHidden/>
    <w:rsid w:val="00C833C0"/>
    <w:rPr>
      <w:rFonts w:eastAsiaTheme="minorEastAsia"/>
      <w:sz w:val="20"/>
      <w:szCs w:val="20"/>
      <w:lang w:eastAsia="ru-RU"/>
    </w:rPr>
  </w:style>
  <w:style w:type="paragraph" w:customStyle="1" w:styleId="Annotationsubject">
    <w:name w:val="Annotation subject"/>
    <w:basedOn w:val="Annotationtext"/>
    <w:next w:val="Annotationtext"/>
    <w:link w:val="aff"/>
    <w:uiPriority w:val="99"/>
    <w:semiHidden/>
    <w:unhideWhenUsed/>
    <w:rsid w:val="00C833C0"/>
    <w:rPr>
      <w:b/>
      <w:bCs/>
    </w:rPr>
  </w:style>
  <w:style w:type="character" w:customStyle="1" w:styleId="aff">
    <w:name w:val="Тема примечания Знак"/>
    <w:basedOn w:val="afe"/>
    <w:link w:val="Annotationsubject"/>
    <w:uiPriority w:val="99"/>
    <w:semiHidden/>
    <w:rsid w:val="00C833C0"/>
    <w:rPr>
      <w:rFonts w:eastAsiaTheme="minorEastAsia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C833C0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833C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нак сноски1"/>
    <w:link w:val="ListTable3-Accent4"/>
    <w:uiPriority w:val="99"/>
    <w:unhideWhenUsed/>
    <w:rsid w:val="00C833C0"/>
    <w:rPr>
      <w:vertAlign w:val="superscript"/>
    </w:rPr>
  </w:style>
  <w:style w:type="paragraph" w:customStyle="1" w:styleId="11">
    <w:name w:val="Текст сноски1"/>
    <w:uiPriority w:val="99"/>
    <w:rsid w:val="00C833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1811</Words>
  <Characters>10324</Characters>
  <Application>Microsoft Office Word</Application>
  <DocSecurity>0</DocSecurity>
  <Lines>86</Lines>
  <Paragraphs>24</Paragraphs>
  <ScaleCrop>false</ScaleCrop>
  <Company>minfin AO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Максим Алексеевич</dc:creator>
  <cp:lastModifiedBy>minfin user</cp:lastModifiedBy>
  <cp:revision>2</cp:revision>
  <dcterms:created xsi:type="dcterms:W3CDTF">2023-10-11T09:00:00Z</dcterms:created>
  <dcterms:modified xsi:type="dcterms:W3CDTF">2023-10-11T09:00:00Z</dcterms:modified>
</cp:coreProperties>
</file>