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E3" w:rsidRDefault="00C00AA6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D61E3" w:rsidRDefault="00C00AA6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 транспорта Архангельской области</w:t>
      </w:r>
    </w:p>
    <w:p w:rsidR="00ED61E3" w:rsidRDefault="00C00AA6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29 сентября 2023 года № 375-р/3</w:t>
      </w:r>
    </w:p>
    <w:p w:rsidR="00ED61E3" w:rsidRDefault="00ED61E3">
      <w:pPr>
        <w:jc w:val="center"/>
        <w:rPr>
          <w:sz w:val="28"/>
          <w:szCs w:val="28"/>
        </w:rPr>
      </w:pPr>
    </w:p>
    <w:p w:rsidR="00ED61E3" w:rsidRDefault="00ED61E3">
      <w:pPr>
        <w:jc w:val="center"/>
        <w:rPr>
          <w:sz w:val="20"/>
          <w:szCs w:val="20"/>
        </w:rPr>
      </w:pPr>
    </w:p>
    <w:p w:rsidR="00ED61E3" w:rsidRDefault="00C00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61E3" w:rsidRDefault="00C00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ED61E3" w:rsidRDefault="00C00AA6">
      <w:pPr>
        <w:jc w:val="center"/>
        <w:rPr>
          <w:sz w:val="28"/>
          <w:szCs w:val="28"/>
        </w:rPr>
      </w:pPr>
      <w:r>
        <w:rPr>
          <w:sz w:val="28"/>
          <w:szCs w:val="28"/>
        </w:rPr>
        <w:t>«Улучшение эксплуатационного состояния автомобильных дорог общего пользования регионального или межмуниципального значения за счет ремонта, капитального ремонта и содержания»</w:t>
      </w:r>
    </w:p>
    <w:p w:rsidR="00ED61E3" w:rsidRDefault="00ED61E3">
      <w:pPr>
        <w:jc w:val="center"/>
        <w:rPr>
          <w:sz w:val="28"/>
          <w:szCs w:val="28"/>
        </w:rPr>
      </w:pPr>
    </w:p>
    <w:p w:rsidR="00ED61E3" w:rsidRDefault="00C00AA6">
      <w:pPr>
        <w:pStyle w:val="af1"/>
        <w:numPr>
          <w:ilvl w:val="0"/>
          <w:numId w:val="8"/>
        </w:numPr>
        <w:spacing w:before="0"/>
        <w:ind w:left="714" w:hanging="357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tbl>
      <w:tblPr>
        <w:tblStyle w:val="af2"/>
        <w:tblW w:w="0" w:type="auto"/>
        <w:tblInd w:w="250" w:type="dxa"/>
        <w:tblLook w:val="04A0"/>
      </w:tblPr>
      <w:tblGrid>
        <w:gridCol w:w="7759"/>
        <w:gridCol w:w="8009"/>
      </w:tblGrid>
      <w:tr w:rsidR="00ED61E3">
        <w:trPr>
          <w:trHeight w:val="569"/>
        </w:trPr>
        <w:tc>
          <w:tcPr>
            <w:tcW w:w="7759" w:type="dxa"/>
            <w:noWrap/>
            <w:vAlign w:val="center"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государственной программы </w:t>
            </w:r>
            <w:r>
              <w:rPr>
                <w:rFonts w:eastAsia="Calibri"/>
                <w:sz w:val="20"/>
                <w:szCs w:val="20"/>
              </w:rPr>
              <w:t>Архангельской области</w:t>
            </w:r>
          </w:p>
        </w:tc>
        <w:tc>
          <w:tcPr>
            <w:tcW w:w="8009" w:type="dxa"/>
            <w:noWrap/>
            <w:vAlign w:val="center"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 Архангельской област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далее – министерство транспорта)</w:t>
            </w:r>
          </w:p>
        </w:tc>
      </w:tr>
      <w:tr w:rsidR="00ED61E3">
        <w:trPr>
          <w:trHeight w:val="576"/>
        </w:trPr>
        <w:tc>
          <w:tcPr>
            <w:tcW w:w="7759" w:type="dxa"/>
            <w:noWrap/>
            <w:vAlign w:val="center"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государственной программой </w:t>
            </w:r>
            <w:r>
              <w:rPr>
                <w:rFonts w:eastAsia="Calibri"/>
                <w:sz w:val="20"/>
                <w:szCs w:val="20"/>
              </w:rPr>
              <w:t>Архангельской области</w:t>
            </w:r>
          </w:p>
        </w:tc>
        <w:tc>
          <w:tcPr>
            <w:tcW w:w="8009" w:type="dxa"/>
            <w:noWrap/>
            <w:vAlign w:val="center"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транспортной системы Архангельской области</w:t>
            </w:r>
          </w:p>
        </w:tc>
      </w:tr>
    </w:tbl>
    <w:p w:rsidR="00ED61E3" w:rsidRDefault="00ED61E3">
      <w:pPr>
        <w:ind w:left="1684" w:right="1724"/>
        <w:jc w:val="center"/>
        <w:rPr>
          <w:sz w:val="28"/>
          <w:szCs w:val="28"/>
        </w:rPr>
      </w:pPr>
    </w:p>
    <w:p w:rsidR="00ED61E3" w:rsidRDefault="00ED61E3">
      <w:pPr>
        <w:ind w:left="1684" w:right="1724"/>
        <w:jc w:val="center"/>
        <w:rPr>
          <w:sz w:val="28"/>
          <w:szCs w:val="28"/>
          <w:highlight w:val="green"/>
        </w:rPr>
        <w:sectPr w:rsidR="00ED61E3" w:rsidSect="00FD18C4">
          <w:headerReference w:type="default" r:id="rId8"/>
          <w:pgSz w:w="16840" w:h="11910" w:orient="landscape"/>
          <w:pgMar w:top="1021" w:right="397" w:bottom="851" w:left="454" w:header="709" w:footer="709" w:gutter="0"/>
          <w:cols w:space="720"/>
          <w:titlePg/>
          <w:docGrid w:linePitch="360"/>
        </w:sectPr>
      </w:pPr>
    </w:p>
    <w:p w:rsidR="00ED61E3" w:rsidRDefault="00C00AA6">
      <w:pPr>
        <w:ind w:left="1684" w:right="17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ED61E3" w:rsidRDefault="00ED61E3">
      <w:pPr>
        <w:pStyle w:val="af"/>
        <w:rPr>
          <w:sz w:val="20"/>
          <w:szCs w:val="20"/>
        </w:rPr>
      </w:pPr>
    </w:p>
    <w:tbl>
      <w:tblPr>
        <w:tblStyle w:val="TableNormal"/>
        <w:tblW w:w="15313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103"/>
        <w:gridCol w:w="1418"/>
        <w:gridCol w:w="1134"/>
        <w:gridCol w:w="992"/>
        <w:gridCol w:w="851"/>
        <w:gridCol w:w="708"/>
        <w:gridCol w:w="567"/>
        <w:gridCol w:w="567"/>
        <w:gridCol w:w="557"/>
        <w:gridCol w:w="1428"/>
        <w:gridCol w:w="1417"/>
      </w:tblGrid>
      <w:tr w:rsidR="00ED61E3">
        <w:trPr>
          <w:trHeight w:val="287"/>
          <w:tblHeader/>
        </w:trPr>
        <w:tc>
          <w:tcPr>
            <w:tcW w:w="571" w:type="dxa"/>
            <w:vMerge w:val="restart"/>
            <w:noWrap/>
          </w:tcPr>
          <w:p w:rsidR="00ED61E3" w:rsidRDefault="00ED61E3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noWrap/>
          </w:tcPr>
          <w:p w:rsidR="00ED61E3" w:rsidRDefault="00ED61E3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418" w:type="dxa"/>
            <w:vMerge w:val="restart"/>
            <w:noWrap/>
          </w:tcPr>
          <w:p w:rsidR="00ED61E3" w:rsidRDefault="00ED61E3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возрастания/убывания</w:t>
            </w:r>
          </w:p>
        </w:tc>
        <w:tc>
          <w:tcPr>
            <w:tcW w:w="1134" w:type="dxa"/>
            <w:vMerge w:val="restart"/>
            <w:noWrap/>
          </w:tcPr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  <w:r w:rsidR="00FD18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соответствиядекомпози-рованного</w:t>
            </w:r>
            <w:proofErr w:type="spellEnd"/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noWrap/>
          </w:tcPr>
          <w:p w:rsidR="00ED61E3" w:rsidRDefault="00ED61E3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Единицаизмерени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pacing w:val="-1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pacing w:val="-1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ОКЕИ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noWrap/>
          </w:tcPr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</w:t>
            </w:r>
            <w:bookmarkStart w:id="0" w:name="_bookmark7"/>
            <w:bookmarkEnd w:id="0"/>
            <w:r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691" w:type="dxa"/>
            <w:gridSpan w:val="3"/>
            <w:noWrap/>
          </w:tcPr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показателей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  <w:tc>
          <w:tcPr>
            <w:tcW w:w="1428" w:type="dxa"/>
            <w:vMerge w:val="restart"/>
            <w:noWrap/>
          </w:tcPr>
          <w:p w:rsidR="00ED61E3" w:rsidRDefault="00ED61E3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ED61E3" w:rsidRDefault="00C00AA6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ED61E3">
        <w:trPr>
          <w:trHeight w:val="623"/>
          <w:tblHeader/>
        </w:trPr>
        <w:tc>
          <w:tcPr>
            <w:tcW w:w="571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28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</w:tcPr>
          <w:p w:rsidR="00ED61E3" w:rsidRDefault="00ED61E3">
            <w:pPr>
              <w:rPr>
                <w:sz w:val="20"/>
                <w:szCs w:val="20"/>
              </w:rPr>
            </w:pPr>
          </w:p>
        </w:tc>
      </w:tr>
      <w:tr w:rsidR="00ED61E3">
        <w:trPr>
          <w:trHeight w:val="280"/>
          <w:tblHeader/>
        </w:trPr>
        <w:tc>
          <w:tcPr>
            <w:tcW w:w="57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D61E3">
        <w:trPr>
          <w:trHeight w:val="280"/>
          <w:tblHeader/>
        </w:trPr>
        <w:tc>
          <w:tcPr>
            <w:tcW w:w="57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103" w:type="dxa"/>
            <w:noWrap/>
          </w:tcPr>
          <w:p w:rsidR="00ED61E3" w:rsidRDefault="00C00A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линий искусственного освещения на региональных автомобильных дорогах (нарастающим итогом)</w:t>
            </w:r>
          </w:p>
        </w:tc>
        <w:tc>
          <w:tcPr>
            <w:tcW w:w="141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Километр;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33,50</w:t>
            </w:r>
          </w:p>
        </w:tc>
        <w:tc>
          <w:tcPr>
            <w:tcW w:w="70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55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23,1</w:t>
            </w:r>
          </w:p>
        </w:tc>
        <w:tc>
          <w:tcPr>
            <w:tcW w:w="1428" w:type="dxa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ED61E3">
        <w:trPr>
          <w:trHeight w:val="280"/>
          <w:tblHeader/>
        </w:trPr>
        <w:tc>
          <w:tcPr>
            <w:tcW w:w="57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103" w:type="dxa"/>
            <w:shd w:val="clear" w:color="auto" w:fill="auto"/>
            <w:noWrap/>
          </w:tcPr>
          <w:p w:rsidR="00ED61E3" w:rsidRDefault="00C00AA6">
            <w:pPr>
              <w:widowControl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Протяженность региональных автомобильных дорог, соответствующих нормативным требованиям к транспортно-эксплуатационным показателям, в результате капитального ремонта и ремонта </w:t>
            </w:r>
            <w:r>
              <w:rPr>
                <w:sz w:val="20"/>
                <w:szCs w:val="20"/>
              </w:rPr>
              <w:t>(нарастающим итогом)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Километр;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85,3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85,3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ED61E3">
        <w:trPr>
          <w:trHeight w:val="280"/>
          <w:tblHeader/>
        </w:trPr>
        <w:tc>
          <w:tcPr>
            <w:tcW w:w="57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103" w:type="dxa"/>
            <w:noWrap/>
          </w:tcPr>
          <w:p w:rsidR="00ED61E3" w:rsidRDefault="00C00AA6">
            <w:pPr>
              <w:widowControl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 (далее – ДТП) на региональных автомобильных дорогах</w:t>
            </w:r>
          </w:p>
        </w:tc>
        <w:tc>
          <w:tcPr>
            <w:tcW w:w="141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1134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70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13,9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55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13,7</w:t>
            </w:r>
          </w:p>
        </w:tc>
        <w:tc>
          <w:tcPr>
            <w:tcW w:w="1428" w:type="dxa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7" w:type="dxa"/>
            <w:noWrap/>
            <w:vAlign w:val="center"/>
          </w:tcPr>
          <w:p w:rsidR="00ED61E3" w:rsidRDefault="00C00A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ED61E3">
        <w:trPr>
          <w:trHeight w:val="280"/>
          <w:tblHeader/>
        </w:trPr>
        <w:tc>
          <w:tcPr>
            <w:tcW w:w="57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103" w:type="dxa"/>
            <w:noWrap/>
          </w:tcPr>
          <w:p w:rsidR="00ED61E3" w:rsidRDefault="00C00AA6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Доля протяженности региональных автомобильных дорог, на которые получены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документы, в общей протяженности региональных автомобильных дорог</w:t>
            </w:r>
          </w:p>
          <w:p w:rsidR="00ED61E3" w:rsidRDefault="00ED61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76,80</w:t>
            </w:r>
          </w:p>
        </w:tc>
        <w:tc>
          <w:tcPr>
            <w:tcW w:w="708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89,00</w:t>
            </w:r>
          </w:p>
        </w:tc>
        <w:tc>
          <w:tcPr>
            <w:tcW w:w="56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557" w:type="dxa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28" w:type="dxa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7" w:type="dxa"/>
            <w:noWrap/>
            <w:vAlign w:val="center"/>
          </w:tcPr>
          <w:p w:rsidR="00ED61E3" w:rsidRDefault="00C00A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</w:tbl>
    <w:p w:rsidR="00ED61E3" w:rsidRDefault="00ED61E3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0"/>
        </w:rPr>
      </w:pPr>
    </w:p>
    <w:p w:rsidR="00ED61E3" w:rsidRDefault="00C00AA6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 Порядок расчета и источники информации о значениях целевых показателей комплекса процессных мероприятий</w:t>
      </w:r>
    </w:p>
    <w:p w:rsidR="00ED61E3" w:rsidRDefault="00ED61E3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7"/>
        <w:gridCol w:w="5350"/>
        <w:gridCol w:w="4618"/>
      </w:tblGrid>
      <w:tr w:rsidR="00ED61E3">
        <w:trPr>
          <w:trHeight w:val="528"/>
          <w:tblHeader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целевых показателей государственной программы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jc w:val="center"/>
              <w:rPr>
                <w:b/>
              </w:rPr>
            </w:pPr>
            <w:r>
              <w:rPr>
                <w:b/>
              </w:rPr>
              <w:t>Источники информации</w:t>
            </w:r>
          </w:p>
        </w:tc>
      </w:tr>
      <w:tr w:rsidR="00ED61E3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Протяженность линий искусственного освещения на региональных автомобильных дорогах (нарастающим итогом)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показателей  актов приемки </w:t>
            </w:r>
            <w:r>
              <w:rPr>
                <w:color w:val="000000"/>
                <w:sz w:val="20"/>
                <w:szCs w:val="20"/>
              </w:rPr>
              <w:t xml:space="preserve">законченных капитальным ремонтом (ремонтом) объектов приемочной комиссией в отчетном периоде,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Акты приемки законченного капитальным ремонтом (ремонтом) объекта приемочной комиссией</w:t>
            </w:r>
          </w:p>
        </w:tc>
      </w:tr>
      <w:tr w:rsidR="00ED61E3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E3" w:rsidRDefault="00C00AA6">
            <w:pPr>
              <w:widowControl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1.2 Протяженность региональных автомобильных дорог, соответствующих нормативным требованиям к транспортно-эксплуатационным показателям, в результате капитального ремонта и ремонта</w:t>
            </w:r>
            <w:r>
              <w:rPr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показателей актов приемки </w:t>
            </w:r>
            <w:r>
              <w:rPr>
                <w:color w:val="000000"/>
                <w:sz w:val="20"/>
                <w:szCs w:val="20"/>
              </w:rPr>
              <w:t xml:space="preserve">законченных капитальным ремонтом (ремонтом) объектов приемочной комиссией в отчетном периоде,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Акты приемки законченного капитальным ремонтом (ремонтом) объекта приемочной комиссией</w:t>
            </w:r>
          </w:p>
        </w:tc>
      </w:tr>
      <w:tr w:rsidR="00ED61E3">
        <w:trPr>
          <w:trHeight w:val="124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1.3 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 на региональных </w:t>
            </w:r>
            <w:bookmarkStart w:id="1" w:name="_GoBack"/>
            <w:bookmarkEnd w:id="1"/>
            <w:r>
              <w:rPr>
                <w:rFonts w:eastAsiaTheme="minorHAnsi"/>
                <w:sz w:val="20"/>
                <w:szCs w:val="20"/>
              </w:rPr>
              <w:t>автомобильных дорогах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roofErr w:type="gramStart"/>
            <w:r>
              <w:rPr>
                <w:sz w:val="20"/>
                <w:szCs w:val="20"/>
              </w:rPr>
              <w:t xml:space="preserve">Общее количество </w:t>
            </w:r>
            <w:r>
              <w:rPr>
                <w:rFonts w:eastAsiaTheme="minorHAnsi"/>
                <w:sz w:val="20"/>
                <w:szCs w:val="20"/>
              </w:rPr>
              <w:t xml:space="preserve">ДТП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rFonts w:eastAsiaTheme="minorHAnsi"/>
                <w:sz w:val="20"/>
                <w:szCs w:val="20"/>
              </w:rPr>
              <w:t>наличием неудовлетворительных дорожных условий</w:t>
            </w:r>
            <w:r>
              <w:rPr>
                <w:sz w:val="20"/>
                <w:szCs w:val="20"/>
              </w:rPr>
              <w:t>/ общее количество ДТП за отчетный период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состояния безопасности дорожного движения ГИБДД </w:t>
            </w:r>
            <w:r>
              <w:rPr>
                <w:sz w:val="20"/>
                <w:szCs w:val="20"/>
              </w:rPr>
              <w:t>http://stat.gibdd.ru/</w:t>
            </w:r>
            <w:r>
              <w:rPr>
                <w:color w:val="000000"/>
                <w:sz w:val="20"/>
                <w:szCs w:val="20"/>
              </w:rPr>
              <w:t xml:space="preserve">   Архангельская область, региональные автомобильные дороги</w:t>
            </w:r>
          </w:p>
        </w:tc>
      </w:tr>
      <w:tr w:rsidR="00ED61E3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 xml:space="preserve">1.4 Доля протяженности региональных автомобильных дорог, на которые получены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документы, в общей протяженности региональных автомобильных дорог</w:t>
            </w:r>
          </w:p>
          <w:p w:rsidR="00ED61E3" w:rsidRDefault="00ED61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протяженности региональных автомобильных дорог указанных в выписках из ЕГРН, поступивших в отчетном периоде/общая протяженность региональных автомобильных дорог на начало отчетного периода)*100, проценты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1E3" w:rsidRDefault="00C00A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Выписки из ЕГРН о регистрации объекта недвижимости (в части </w:t>
            </w:r>
            <w:proofErr w:type="gramStart"/>
            <w:r>
              <w:rPr>
                <w:color w:val="000000"/>
                <w:sz w:val="20"/>
                <w:szCs w:val="20"/>
              </w:rPr>
              <w:t>объектов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которые получены </w:t>
            </w:r>
            <w:proofErr w:type="spellStart"/>
            <w:r>
              <w:rPr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документы), </w:t>
            </w:r>
          </w:p>
          <w:p w:rsidR="00ED61E3" w:rsidRDefault="00C00A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статистическое наблюдение «Сведения об автомобильных дорогах общего пользования и сооружениях на них федерального, регионального или межмуниципального значения» по форме № 1-ДГ (в части  общей протяженности  автомобильных дорог)</w:t>
            </w:r>
          </w:p>
        </w:tc>
      </w:tr>
    </w:tbl>
    <w:p w:rsidR="00ED61E3" w:rsidRDefault="00ED61E3">
      <w:pPr>
        <w:tabs>
          <w:tab w:val="left" w:pos="6534"/>
        </w:tabs>
        <w:rPr>
          <w:sz w:val="20"/>
          <w:szCs w:val="20"/>
        </w:rPr>
      </w:pPr>
    </w:p>
    <w:p w:rsidR="00ED61E3" w:rsidRDefault="00C00AA6">
      <w:pPr>
        <w:jc w:val="center"/>
        <w:rPr>
          <w:sz w:val="28"/>
          <w:szCs w:val="28"/>
        </w:rPr>
      </w:pPr>
      <w:r>
        <w:rPr>
          <w:sz w:val="20"/>
          <w:szCs w:val="20"/>
        </w:rPr>
        <w:br w:type="column"/>
      </w:r>
      <w:r>
        <w:rPr>
          <w:sz w:val="28"/>
          <w:szCs w:val="28"/>
        </w:rPr>
        <w:lastRenderedPageBreak/>
        <w:t>3. Перечень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результатов)комплекса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ED61E3" w:rsidRDefault="00ED61E3">
      <w:pPr>
        <w:pStyle w:val="af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776"/>
        <w:gridCol w:w="1275"/>
        <w:gridCol w:w="3969"/>
        <w:gridCol w:w="1316"/>
        <w:gridCol w:w="851"/>
        <w:gridCol w:w="992"/>
        <w:gridCol w:w="992"/>
        <w:gridCol w:w="993"/>
        <w:gridCol w:w="1275"/>
      </w:tblGrid>
      <w:tr w:rsidR="00ED61E3">
        <w:trPr>
          <w:trHeight w:val="420"/>
          <w:tblHeader/>
          <w:jc w:val="center"/>
        </w:trPr>
        <w:tc>
          <w:tcPr>
            <w:tcW w:w="432" w:type="dxa"/>
            <w:vMerge w:val="restart"/>
            <w:noWrap/>
          </w:tcPr>
          <w:p w:rsidR="00ED61E3" w:rsidRDefault="00ED61E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6" w:type="dxa"/>
            <w:vMerge w:val="restart"/>
            <w:noWrap/>
          </w:tcPr>
          <w:p w:rsidR="00ED61E3" w:rsidRDefault="00ED61E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1275" w:type="dxa"/>
            <w:vMerge w:val="restart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3969" w:type="dxa"/>
            <w:vMerge w:val="restart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316" w:type="dxa"/>
            <w:vMerge w:val="restart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sz w:val="20"/>
                <w:szCs w:val="20"/>
              </w:rPr>
              <w:t>поОКЕИ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3260" w:type="dxa"/>
            <w:gridSpan w:val="3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  <w:r w:rsidR="00FD1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результата)погодам</w:t>
            </w:r>
          </w:p>
        </w:tc>
      </w:tr>
      <w:tr w:rsidR="00ED61E3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noWrap/>
          </w:tcPr>
          <w:p w:rsidR="00ED61E3" w:rsidRDefault="00ED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1275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</w:p>
        </w:tc>
      </w:tr>
      <w:tr w:rsidR="00ED61E3">
        <w:trPr>
          <w:trHeight w:val="316"/>
          <w:tblHeader/>
          <w:jc w:val="center"/>
        </w:trPr>
        <w:tc>
          <w:tcPr>
            <w:tcW w:w="43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D61E3">
        <w:trPr>
          <w:trHeight w:val="388"/>
          <w:jc w:val="center"/>
        </w:trPr>
        <w:tc>
          <w:tcPr>
            <w:tcW w:w="15871" w:type="dxa"/>
            <w:gridSpan w:val="10"/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1  - осуществление дорожной деятельности в 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 достижения целей (реализации) национального проекта «Безопасные качественные дороги» на территории Архангельской области</w:t>
            </w:r>
          </w:p>
        </w:tc>
      </w:tr>
      <w:tr w:rsidR="00ED61E3">
        <w:trPr>
          <w:trHeight w:val="421"/>
          <w:jc w:val="center"/>
        </w:trPr>
        <w:tc>
          <w:tcPr>
            <w:tcW w:w="432" w:type="dxa"/>
            <w:shd w:val="clear" w:color="auto" w:fill="auto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776" w:type="dxa"/>
            <w:shd w:val="clear" w:color="auto" w:fill="auto"/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 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«Безопасные качественные дороги»</w:t>
            </w: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61E3" w:rsidRDefault="00C00AA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  <w:r>
              <w:rPr>
                <w:bCs/>
                <w:sz w:val="20"/>
                <w:szCs w:val="20"/>
              </w:rPr>
              <w:br/>
            </w: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proofErr w:type="gramStart"/>
            <w:r>
              <w:rPr>
                <w:bCs/>
                <w:sz w:val="20"/>
                <w:szCs w:val="20"/>
              </w:rPr>
              <w:t>осуществляется реализация мероприятий осуществляется</w:t>
            </w:r>
            <w:proofErr w:type="gramEnd"/>
            <w:r>
              <w:rPr>
                <w:bCs/>
                <w:sz w:val="20"/>
                <w:szCs w:val="20"/>
              </w:rPr>
              <w:t xml:space="preserve">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61E3">
        <w:trPr>
          <w:trHeight w:val="1453"/>
          <w:jc w:val="center"/>
        </w:trPr>
        <w:tc>
          <w:tcPr>
            <w:tcW w:w="432" w:type="dxa"/>
            <w:shd w:val="clear" w:color="auto" w:fill="auto"/>
            <w:noWrap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776" w:type="dxa"/>
            <w:shd w:val="clear" w:color="auto" w:fill="auto"/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Приведены в нормативное состояние и устроены вновь элементы обустройства автомобильных дорог</w:t>
            </w: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  <w:noWrap/>
          </w:tcPr>
          <w:p w:rsidR="00ED61E3" w:rsidRDefault="00C00AA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ED61E3" w:rsidRDefault="00ED61E3">
            <w:pPr>
              <w:rPr>
                <w:bCs/>
                <w:sz w:val="20"/>
                <w:szCs w:val="20"/>
              </w:rPr>
            </w:pPr>
          </w:p>
          <w:p w:rsidR="00ED61E3" w:rsidRDefault="00C00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proofErr w:type="gramStart"/>
            <w:r>
              <w:rPr>
                <w:bCs/>
                <w:sz w:val="20"/>
                <w:szCs w:val="20"/>
              </w:rPr>
              <w:t>осуществляется реализация мероприятий осуществляется</w:t>
            </w:r>
            <w:proofErr w:type="gramEnd"/>
            <w:r>
              <w:rPr>
                <w:bCs/>
                <w:sz w:val="20"/>
                <w:szCs w:val="20"/>
              </w:rPr>
              <w:t xml:space="preserve">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61E3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№  2 – обеспечение сохранности региональных автомобильных дорог и  безопасного, бесперебойного движения транспортных средств по региональным  автомобильным дорогам </w:t>
            </w:r>
          </w:p>
        </w:tc>
      </w:tr>
      <w:tr w:rsidR="00ED61E3">
        <w:trPr>
          <w:trHeight w:val="3223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3776" w:type="dxa"/>
            <w:shd w:val="clear" w:color="auto" w:fill="auto"/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бесперебойное движение автотранспортных средств по региональным автомобильным дорогам</w:t>
            </w: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  <w:noWrap/>
          </w:tcPr>
          <w:p w:rsidR="00ED61E3" w:rsidRDefault="00C00AA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2.Механизм реализации мероприятия (результата):</w:t>
            </w: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proofErr w:type="gramStart"/>
            <w:r>
              <w:rPr>
                <w:bCs/>
                <w:sz w:val="20"/>
                <w:szCs w:val="20"/>
              </w:rPr>
              <w:t>осуществляется реализация мероприятий осуществляется</w:t>
            </w:r>
            <w:proofErr w:type="gramEnd"/>
            <w:r>
              <w:rPr>
                <w:bCs/>
                <w:sz w:val="20"/>
                <w:szCs w:val="20"/>
              </w:rPr>
              <w:t xml:space="preserve">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Километр;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7009,594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7008,478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7008,478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7008,478</w:t>
            </w:r>
          </w:p>
        </w:tc>
      </w:tr>
      <w:tr w:rsidR="00ED61E3">
        <w:trPr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ED61E3" w:rsidRDefault="00ED61E3">
            <w:pPr>
              <w:pStyle w:val="TableParagraph"/>
              <w:rPr>
                <w:sz w:val="20"/>
                <w:szCs w:val="20"/>
              </w:rPr>
            </w:pPr>
          </w:p>
          <w:p w:rsidR="00ED61E3" w:rsidRDefault="00C00A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ED61E3" w:rsidRDefault="00ED61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noWrap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Оформлены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автомобильными дорогами в рамках обеспечения сохранности  региональных автомобильных дорог</w:t>
            </w: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  <w:noWrap/>
          </w:tcPr>
          <w:p w:rsidR="00ED61E3" w:rsidRDefault="00C00AA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ED61E3" w:rsidRDefault="00ED61E3">
            <w:pPr>
              <w:rPr>
                <w:bCs/>
                <w:sz w:val="20"/>
                <w:szCs w:val="20"/>
              </w:rPr>
            </w:pPr>
          </w:p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ED61E3" w:rsidRDefault="00C00AA6"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proofErr w:type="gramStart"/>
            <w:r>
              <w:rPr>
                <w:bCs/>
                <w:sz w:val="20"/>
                <w:szCs w:val="20"/>
              </w:rPr>
              <w:t>осуществляется реализация мероприятий осуществляется</w:t>
            </w:r>
            <w:proofErr w:type="gramEnd"/>
            <w:r>
              <w:rPr>
                <w:bCs/>
                <w:sz w:val="20"/>
                <w:szCs w:val="20"/>
              </w:rPr>
              <w:t xml:space="preserve">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Километр;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454,175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350,424</w:t>
            </w:r>
          </w:p>
        </w:tc>
      </w:tr>
    </w:tbl>
    <w:p w:rsidR="00ED61E3" w:rsidRDefault="00ED61E3">
      <w:pPr>
        <w:pStyle w:val="11"/>
        <w:spacing w:before="0"/>
        <w:jc w:val="left"/>
      </w:pPr>
    </w:p>
    <w:p w:rsidR="00ED61E3" w:rsidRDefault="00C00AA6">
      <w:pPr>
        <w:pStyle w:val="1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4. Финансовое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ED61E3" w:rsidRDefault="00ED61E3">
      <w:pPr>
        <w:pStyle w:val="11"/>
        <w:spacing w:before="0"/>
        <w:jc w:val="left"/>
        <w:rPr>
          <w:sz w:val="28"/>
          <w:szCs w:val="28"/>
        </w:rPr>
      </w:pPr>
    </w:p>
    <w:tbl>
      <w:tblPr>
        <w:tblStyle w:val="13"/>
        <w:tblW w:w="15592" w:type="dxa"/>
        <w:tblInd w:w="279" w:type="dxa"/>
        <w:tblLayout w:type="fixed"/>
        <w:tblLook w:val="04A0"/>
      </w:tblPr>
      <w:tblGrid>
        <w:gridCol w:w="850"/>
        <w:gridCol w:w="6096"/>
        <w:gridCol w:w="1275"/>
        <w:gridCol w:w="1276"/>
        <w:gridCol w:w="1418"/>
        <w:gridCol w:w="1984"/>
        <w:gridCol w:w="2693"/>
      </w:tblGrid>
      <w:tr w:rsidR="00ED61E3">
        <w:trPr>
          <w:trHeight w:val="20"/>
          <w:tblHeader/>
        </w:trPr>
        <w:tc>
          <w:tcPr>
            <w:tcW w:w="850" w:type="dxa"/>
            <w:vMerge w:val="restart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br w:type="column"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vMerge w:val="restart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Наименование структурного элемента/источник финансового обеспечения</w:t>
            </w:r>
          </w:p>
        </w:tc>
        <w:tc>
          <w:tcPr>
            <w:tcW w:w="3969" w:type="dxa"/>
            <w:gridSpan w:val="3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 xml:space="preserve">Всего </w:t>
            </w:r>
            <w:r>
              <w:br/>
              <w:t>(тыс. рублей)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Участник государственной программы</w:t>
            </w:r>
          </w:p>
        </w:tc>
      </w:tr>
      <w:tr w:rsidR="00ED61E3">
        <w:trPr>
          <w:trHeight w:val="113"/>
          <w:tblHeader/>
        </w:trPr>
        <w:tc>
          <w:tcPr>
            <w:tcW w:w="850" w:type="dxa"/>
            <w:vMerge/>
            <w:shd w:val="clear" w:color="auto" w:fill="auto"/>
            <w:noWrap/>
          </w:tcPr>
          <w:p w:rsidR="00ED61E3" w:rsidRDefault="00ED61E3">
            <w:pPr>
              <w:jc w:val="center"/>
            </w:pPr>
          </w:p>
        </w:tc>
        <w:tc>
          <w:tcPr>
            <w:tcW w:w="6096" w:type="dxa"/>
            <w:vMerge/>
            <w:shd w:val="clear" w:color="auto" w:fill="auto"/>
            <w:noWrap/>
          </w:tcPr>
          <w:p w:rsidR="00ED61E3" w:rsidRDefault="00ED61E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2026</w:t>
            </w:r>
          </w:p>
        </w:tc>
        <w:tc>
          <w:tcPr>
            <w:tcW w:w="1984" w:type="dxa"/>
            <w:vMerge/>
            <w:shd w:val="clear" w:color="auto" w:fill="auto"/>
            <w:noWrap/>
          </w:tcPr>
          <w:p w:rsidR="00ED61E3" w:rsidRDefault="00ED61E3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ED61E3" w:rsidRDefault="00ED61E3">
            <w:pPr>
              <w:jc w:val="center"/>
            </w:pPr>
          </w:p>
        </w:tc>
      </w:tr>
      <w:tr w:rsidR="00ED61E3">
        <w:trPr>
          <w:trHeight w:val="20"/>
          <w:tblHeader/>
        </w:trPr>
        <w:tc>
          <w:tcPr>
            <w:tcW w:w="850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1</w:t>
            </w:r>
          </w:p>
        </w:tc>
        <w:tc>
          <w:tcPr>
            <w:tcW w:w="6096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7</w:t>
            </w:r>
          </w:p>
        </w:tc>
      </w:tr>
      <w:tr w:rsidR="00ED61E3">
        <w:trPr>
          <w:trHeight w:val="432"/>
          <w:tblHeader/>
        </w:trPr>
        <w:tc>
          <w:tcPr>
            <w:tcW w:w="6946" w:type="dxa"/>
            <w:gridSpan w:val="2"/>
            <w:shd w:val="clear" w:color="auto" w:fill="auto"/>
            <w:noWrap/>
            <w:vAlign w:val="center"/>
          </w:tcPr>
          <w:p w:rsidR="00ED61E3" w:rsidRDefault="00C00A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>Улучшение эксплуатационного состояния автомобильных дорог общего пользования регионального или межмуниципального значения за счет ремонта, капитального ремонта и содержания» 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4 114 295,1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5 034 784,9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4 515 182,1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13 664 262,1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-</w:t>
            </w:r>
          </w:p>
        </w:tc>
      </w:tr>
      <w:tr w:rsidR="00ED61E3">
        <w:trPr>
          <w:trHeight w:val="20"/>
          <w:tblHeader/>
        </w:trPr>
        <w:tc>
          <w:tcPr>
            <w:tcW w:w="6946" w:type="dxa"/>
            <w:gridSpan w:val="2"/>
            <w:shd w:val="clear" w:color="auto" w:fill="auto"/>
            <w:noWrap/>
          </w:tcPr>
          <w:p w:rsidR="00ED61E3" w:rsidRDefault="00C00AA6">
            <w: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4 114 295,1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5 034 784,9</w:t>
            </w:r>
          </w:p>
        </w:tc>
        <w:tc>
          <w:tcPr>
            <w:tcW w:w="1418" w:type="dxa"/>
            <w:shd w:val="clear" w:color="auto" w:fill="auto"/>
            <w:noWrap/>
          </w:tcPr>
          <w:p w:rsidR="00ED61E3" w:rsidRDefault="00C00AA6">
            <w:pPr>
              <w:jc w:val="center"/>
            </w:pPr>
            <w:r>
              <w:t>4 515 182,1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13 664 262,1</w:t>
            </w:r>
          </w:p>
        </w:tc>
        <w:tc>
          <w:tcPr>
            <w:tcW w:w="2693" w:type="dxa"/>
            <w:vMerge/>
            <w:shd w:val="clear" w:color="auto" w:fill="auto"/>
            <w:noWrap/>
          </w:tcPr>
          <w:p w:rsidR="00ED61E3" w:rsidRDefault="00ED61E3">
            <w:pPr>
              <w:jc w:val="center"/>
            </w:pPr>
          </w:p>
        </w:tc>
      </w:tr>
      <w:tr w:rsidR="00ED61E3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r>
              <w:t>1.1.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r>
              <w:rPr>
                <w:sz w:val="20"/>
                <w:szCs w:val="20"/>
              </w:rPr>
              <w:t>Выполнен 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«Безопасные качественные дороги»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1 048 123,4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1 311 319,5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1 032 771,6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3 392 214,5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1.1.1.</w:t>
            </w:r>
          </w:p>
        </w:tc>
        <w:tc>
          <w:tcPr>
            <w:tcW w:w="6096" w:type="dxa"/>
            <w:shd w:val="clear" w:color="auto" w:fill="auto"/>
            <w:noWrap/>
          </w:tcPr>
          <w:p w:rsidR="00ED61E3" w:rsidRDefault="00C00AA6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1 048 123,4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1 311 319,5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1 032 771,6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3 392 214,5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ED61E3" w:rsidRDefault="00ED61E3">
            <w:pPr>
              <w:jc w:val="center"/>
              <w:rPr>
                <w:highlight w:val="yellow"/>
              </w:rPr>
            </w:pPr>
          </w:p>
        </w:tc>
      </w:tr>
      <w:tr w:rsidR="00ED61E3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r>
              <w:t>1.2.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r>
              <w:rPr>
                <w:sz w:val="20"/>
                <w:szCs w:val="20"/>
              </w:rPr>
              <w:t>Приведены в нормативное состояние и устроены вновь элементы обустройства автомобильных дорог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5 050,0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384 178,9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143 124,0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532 352,9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1.2.1.</w:t>
            </w:r>
          </w:p>
        </w:tc>
        <w:tc>
          <w:tcPr>
            <w:tcW w:w="6096" w:type="dxa"/>
            <w:shd w:val="clear" w:color="auto" w:fill="auto"/>
            <w:noWrap/>
          </w:tcPr>
          <w:p w:rsidR="00ED61E3" w:rsidRDefault="00C00AA6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5 050,0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384 178,9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143 124,0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532 352,9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ED61E3" w:rsidRDefault="00ED61E3">
            <w:pPr>
              <w:jc w:val="center"/>
            </w:pP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2.1.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D61E3" w:rsidRDefault="00C00AA6">
            <w:pPr>
              <w:rPr>
                <w:strike/>
              </w:rPr>
            </w:pPr>
            <w:r>
              <w:rPr>
                <w:sz w:val="20"/>
                <w:szCs w:val="20"/>
              </w:rPr>
              <w:t>Обеспечено бесперебойное движение автотранспортных средств по региональным автомобильным дорогам 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3 054 121,7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3 332 286,5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3 332 286,5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9 718 694,7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2.1.1.</w:t>
            </w:r>
          </w:p>
        </w:tc>
        <w:tc>
          <w:tcPr>
            <w:tcW w:w="6096" w:type="dxa"/>
            <w:shd w:val="clear" w:color="auto" w:fill="auto"/>
            <w:noWrap/>
          </w:tcPr>
          <w:p w:rsidR="00ED61E3" w:rsidRDefault="00C00AA6">
            <w: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3 054 121,7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3 332 286,5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3 332 286,5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9 718 694,7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2.2.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D61E3" w:rsidRDefault="00C00AA6">
            <w:pPr>
              <w:rPr>
                <w:strike/>
              </w:rPr>
            </w:pPr>
            <w:r>
              <w:rPr>
                <w:sz w:val="20"/>
                <w:szCs w:val="20"/>
              </w:rPr>
              <w:t>Оформлены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автомобильными дорогами в рамках обеспечения сохранности  региональных автомобильных дорог 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21 000,0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ED61E3">
        <w:trPr>
          <w:trHeight w:val="20"/>
        </w:trPr>
        <w:tc>
          <w:tcPr>
            <w:tcW w:w="850" w:type="dxa"/>
            <w:shd w:val="clear" w:color="auto" w:fill="auto"/>
            <w:noWrap/>
            <w:vAlign w:val="center"/>
          </w:tcPr>
          <w:p w:rsidR="00ED61E3" w:rsidRDefault="00C00AA6">
            <w:r>
              <w:t>2.2.1.</w:t>
            </w:r>
          </w:p>
        </w:tc>
        <w:tc>
          <w:tcPr>
            <w:tcW w:w="6096" w:type="dxa"/>
            <w:shd w:val="clear" w:color="auto" w:fill="auto"/>
            <w:noWrap/>
          </w:tcPr>
          <w:p w:rsidR="00ED61E3" w:rsidRDefault="00C00AA6">
            <w: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t>21 000,0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</w:tbl>
    <w:p w:rsidR="00ED61E3" w:rsidRDefault="00ED61E3">
      <w:pPr>
        <w:rPr>
          <w:sz w:val="20"/>
          <w:szCs w:val="20"/>
        </w:rPr>
        <w:sectPr w:rsidR="00ED61E3">
          <w:pgSz w:w="16840" w:h="11910" w:orient="landscape"/>
          <w:pgMar w:top="480" w:right="280" w:bottom="280" w:left="320" w:header="720" w:footer="720" w:gutter="0"/>
          <w:cols w:space="720"/>
          <w:titlePg/>
          <w:docGrid w:linePitch="360"/>
        </w:sectPr>
      </w:pPr>
    </w:p>
    <w:p w:rsidR="00ED61E3" w:rsidRDefault="00C00AA6">
      <w:pPr>
        <w:pStyle w:val="1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План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FD18C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1984"/>
        <w:gridCol w:w="3119"/>
        <w:gridCol w:w="1134"/>
        <w:gridCol w:w="1275"/>
        <w:gridCol w:w="1276"/>
        <w:gridCol w:w="1701"/>
        <w:gridCol w:w="1559"/>
      </w:tblGrid>
      <w:tr w:rsidR="00ED61E3">
        <w:trPr>
          <w:trHeight w:val="911"/>
        </w:trPr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noWrap/>
          </w:tcPr>
          <w:p w:rsidR="00ED61E3" w:rsidRDefault="00ED61E3">
            <w:pPr>
              <w:jc w:val="center"/>
              <w:rPr>
                <w:bCs/>
                <w:sz w:val="20"/>
                <w:szCs w:val="20"/>
              </w:rPr>
            </w:pPr>
          </w:p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br/>
              <w:t>за реализацию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811" w:type="dxa"/>
            <w:gridSpan w:val="4"/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 и сроки исполнения контрольных точек</w:t>
            </w:r>
          </w:p>
        </w:tc>
      </w:tr>
      <w:tr w:rsidR="00ED61E3">
        <w:trPr>
          <w:trHeight w:val="3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1E3" w:rsidRDefault="00ED61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ED61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61E3" w:rsidRDefault="00ED61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1E3" w:rsidRDefault="00ED61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1E3" w:rsidRDefault="00ED61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  <w:noWrap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1701" w:type="dxa"/>
            <w:shd w:val="clear" w:color="auto" w:fill="auto"/>
            <w:noWrap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 месяцев</w:t>
            </w:r>
          </w:p>
        </w:tc>
        <w:tc>
          <w:tcPr>
            <w:tcW w:w="1559" w:type="dxa"/>
            <w:shd w:val="clear" w:color="auto" w:fill="auto"/>
            <w:noWrap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</w:tr>
      <w:tr w:rsidR="00ED61E3">
        <w:trPr>
          <w:trHeight w:val="7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1E3" w:rsidRDefault="00C0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ED61E3" w:rsidRDefault="00ED61E3">
      <w:pPr>
        <w:pStyle w:val="af"/>
        <w:jc w:val="center"/>
        <w:rPr>
          <w:sz w:val="20"/>
          <w:szCs w:val="20"/>
        </w:rPr>
      </w:pPr>
    </w:p>
    <w:p w:rsidR="00ED61E3" w:rsidRDefault="00C00AA6">
      <w:pPr>
        <w:pStyle w:val="af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ED61E3" w:rsidSect="00ED61E3">
      <w:pgSz w:w="16840" w:h="11910" w:orient="landscape"/>
      <w:pgMar w:top="480" w:right="280" w:bottom="280" w:left="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E3" w:rsidRDefault="00C00AA6">
      <w:r>
        <w:separator/>
      </w:r>
    </w:p>
  </w:endnote>
  <w:endnote w:type="continuationSeparator" w:id="0">
    <w:p w:rsidR="00ED61E3" w:rsidRDefault="00C0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E3" w:rsidRDefault="00C00AA6">
      <w:r>
        <w:separator/>
      </w:r>
    </w:p>
  </w:footnote>
  <w:footnote w:type="continuationSeparator" w:id="0">
    <w:p w:rsidR="00ED61E3" w:rsidRDefault="00C0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ED61E3" w:rsidRDefault="00CF639F">
        <w:pPr>
          <w:pStyle w:val="1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C00AA6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D18C4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:rsidR="00ED61E3" w:rsidRDefault="00ED61E3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4EB"/>
    <w:multiLevelType w:val="hybridMultilevel"/>
    <w:tmpl w:val="2FE28160"/>
    <w:lvl w:ilvl="0" w:tplc="B0DC7C04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 w:tplc="3572A0EC">
      <w:numFmt w:val="none"/>
      <w:lvlText w:val=""/>
      <w:lvlJc w:val="left"/>
      <w:pPr>
        <w:tabs>
          <w:tab w:val="num" w:pos="360"/>
        </w:tabs>
      </w:pPr>
    </w:lvl>
    <w:lvl w:ilvl="2" w:tplc="085AB0CC">
      <w:numFmt w:val="none"/>
      <w:lvlText w:val=""/>
      <w:lvlJc w:val="left"/>
      <w:pPr>
        <w:tabs>
          <w:tab w:val="num" w:pos="360"/>
        </w:tabs>
      </w:pPr>
    </w:lvl>
    <w:lvl w:ilvl="3" w:tplc="1BFCF5F2">
      <w:numFmt w:val="none"/>
      <w:lvlText w:val=""/>
      <w:lvlJc w:val="left"/>
      <w:pPr>
        <w:tabs>
          <w:tab w:val="num" w:pos="360"/>
        </w:tabs>
      </w:pPr>
    </w:lvl>
    <w:lvl w:ilvl="4" w:tplc="FA2C2AAC">
      <w:numFmt w:val="none"/>
      <w:lvlText w:val=""/>
      <w:lvlJc w:val="left"/>
      <w:pPr>
        <w:tabs>
          <w:tab w:val="num" w:pos="360"/>
        </w:tabs>
      </w:pPr>
    </w:lvl>
    <w:lvl w:ilvl="5" w:tplc="73F625C4">
      <w:numFmt w:val="none"/>
      <w:lvlText w:val=""/>
      <w:lvlJc w:val="left"/>
      <w:pPr>
        <w:tabs>
          <w:tab w:val="num" w:pos="360"/>
        </w:tabs>
      </w:pPr>
    </w:lvl>
    <w:lvl w:ilvl="6" w:tplc="26725C68">
      <w:numFmt w:val="none"/>
      <w:lvlText w:val=""/>
      <w:lvlJc w:val="left"/>
      <w:pPr>
        <w:tabs>
          <w:tab w:val="num" w:pos="360"/>
        </w:tabs>
      </w:pPr>
    </w:lvl>
    <w:lvl w:ilvl="7" w:tplc="66F05E60">
      <w:numFmt w:val="none"/>
      <w:lvlText w:val=""/>
      <w:lvlJc w:val="left"/>
      <w:pPr>
        <w:tabs>
          <w:tab w:val="num" w:pos="360"/>
        </w:tabs>
      </w:pPr>
    </w:lvl>
    <w:lvl w:ilvl="8" w:tplc="177C63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ED0A09"/>
    <w:multiLevelType w:val="hybridMultilevel"/>
    <w:tmpl w:val="B484BD9C"/>
    <w:lvl w:ilvl="0" w:tplc="8D848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85396">
      <w:numFmt w:val="none"/>
      <w:lvlText w:val=""/>
      <w:lvlJc w:val="left"/>
      <w:pPr>
        <w:tabs>
          <w:tab w:val="num" w:pos="360"/>
        </w:tabs>
      </w:pPr>
    </w:lvl>
    <w:lvl w:ilvl="2" w:tplc="1A9EA8D0">
      <w:numFmt w:val="none"/>
      <w:lvlText w:val=""/>
      <w:lvlJc w:val="left"/>
      <w:pPr>
        <w:tabs>
          <w:tab w:val="num" w:pos="360"/>
        </w:tabs>
      </w:pPr>
    </w:lvl>
    <w:lvl w:ilvl="3" w:tplc="C3CA9B14">
      <w:numFmt w:val="none"/>
      <w:lvlText w:val=""/>
      <w:lvlJc w:val="left"/>
      <w:pPr>
        <w:tabs>
          <w:tab w:val="num" w:pos="360"/>
        </w:tabs>
      </w:pPr>
    </w:lvl>
    <w:lvl w:ilvl="4" w:tplc="EF9839F8">
      <w:numFmt w:val="none"/>
      <w:lvlText w:val=""/>
      <w:lvlJc w:val="left"/>
      <w:pPr>
        <w:tabs>
          <w:tab w:val="num" w:pos="360"/>
        </w:tabs>
      </w:pPr>
    </w:lvl>
    <w:lvl w:ilvl="5" w:tplc="714A95EE">
      <w:numFmt w:val="none"/>
      <w:lvlText w:val=""/>
      <w:lvlJc w:val="left"/>
      <w:pPr>
        <w:tabs>
          <w:tab w:val="num" w:pos="360"/>
        </w:tabs>
      </w:pPr>
    </w:lvl>
    <w:lvl w:ilvl="6" w:tplc="600ABFF6">
      <w:numFmt w:val="none"/>
      <w:lvlText w:val=""/>
      <w:lvlJc w:val="left"/>
      <w:pPr>
        <w:tabs>
          <w:tab w:val="num" w:pos="360"/>
        </w:tabs>
      </w:pPr>
    </w:lvl>
    <w:lvl w:ilvl="7" w:tplc="BF76AEDA">
      <w:numFmt w:val="none"/>
      <w:lvlText w:val=""/>
      <w:lvlJc w:val="left"/>
      <w:pPr>
        <w:tabs>
          <w:tab w:val="num" w:pos="360"/>
        </w:tabs>
      </w:pPr>
    </w:lvl>
    <w:lvl w:ilvl="8" w:tplc="5686BD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DC6184"/>
    <w:multiLevelType w:val="hybridMultilevel"/>
    <w:tmpl w:val="6CE4BE34"/>
    <w:lvl w:ilvl="0" w:tplc="4A04E87A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518AA67A">
      <w:numFmt w:val="none"/>
      <w:lvlText w:val=""/>
      <w:lvlJc w:val="left"/>
      <w:pPr>
        <w:tabs>
          <w:tab w:val="num" w:pos="360"/>
        </w:tabs>
      </w:pPr>
    </w:lvl>
    <w:lvl w:ilvl="2" w:tplc="3796EE1E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 w:tplc="8BEEC5C2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 w:tplc="3A9E506A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 w:tplc="7D5EDF56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 w:tplc="79C60318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 w:tplc="EB20CA94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 w:tplc="31B693C2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3">
    <w:nsid w:val="2E9E0D71"/>
    <w:multiLevelType w:val="hybridMultilevel"/>
    <w:tmpl w:val="91920FDE"/>
    <w:lvl w:ilvl="0" w:tplc="FDF0AA0A">
      <w:start w:val="3"/>
      <w:numFmt w:val="bullet"/>
      <w:lvlText w:val=""/>
      <w:lvlJc w:val="left"/>
      <w:pPr>
        <w:ind w:left="948" w:hanging="360"/>
      </w:pPr>
      <w:rPr>
        <w:rFonts w:ascii="Symbol" w:eastAsia="Times New Roman" w:hAnsi="Symbol" w:cs="Times New Roman" w:hint="default"/>
      </w:rPr>
    </w:lvl>
    <w:lvl w:ilvl="1" w:tplc="E3445DF8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7FE4EA56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89BEB9C2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DDFEFA98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13A1AB4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F2265FE8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E64EFF70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F79EF698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406364E2"/>
    <w:multiLevelType w:val="hybridMultilevel"/>
    <w:tmpl w:val="F13A054A"/>
    <w:lvl w:ilvl="0" w:tplc="4822C726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96D8877A">
      <w:start w:val="1"/>
      <w:numFmt w:val="lowerLetter"/>
      <w:lvlText w:val="%2."/>
      <w:lvlJc w:val="left"/>
      <w:pPr>
        <w:ind w:left="5891" w:hanging="360"/>
      </w:pPr>
    </w:lvl>
    <w:lvl w:ilvl="2" w:tplc="BD447B68">
      <w:start w:val="1"/>
      <w:numFmt w:val="lowerRoman"/>
      <w:lvlText w:val="%3."/>
      <w:lvlJc w:val="right"/>
      <w:pPr>
        <w:ind w:left="6611" w:hanging="180"/>
      </w:pPr>
    </w:lvl>
    <w:lvl w:ilvl="3" w:tplc="BD088468">
      <w:start w:val="1"/>
      <w:numFmt w:val="decimal"/>
      <w:lvlText w:val="%4."/>
      <w:lvlJc w:val="left"/>
      <w:pPr>
        <w:ind w:left="7331" w:hanging="360"/>
      </w:pPr>
    </w:lvl>
    <w:lvl w:ilvl="4" w:tplc="1908864A">
      <w:start w:val="1"/>
      <w:numFmt w:val="lowerLetter"/>
      <w:lvlText w:val="%5."/>
      <w:lvlJc w:val="left"/>
      <w:pPr>
        <w:ind w:left="8051" w:hanging="360"/>
      </w:pPr>
    </w:lvl>
    <w:lvl w:ilvl="5" w:tplc="4552AE78">
      <w:start w:val="1"/>
      <w:numFmt w:val="lowerRoman"/>
      <w:lvlText w:val="%6."/>
      <w:lvlJc w:val="right"/>
      <w:pPr>
        <w:ind w:left="8771" w:hanging="180"/>
      </w:pPr>
    </w:lvl>
    <w:lvl w:ilvl="6" w:tplc="9F761A48">
      <w:start w:val="1"/>
      <w:numFmt w:val="decimal"/>
      <w:lvlText w:val="%7."/>
      <w:lvlJc w:val="left"/>
      <w:pPr>
        <w:ind w:left="9491" w:hanging="360"/>
      </w:pPr>
    </w:lvl>
    <w:lvl w:ilvl="7" w:tplc="86560C36">
      <w:start w:val="1"/>
      <w:numFmt w:val="lowerLetter"/>
      <w:lvlText w:val="%8."/>
      <w:lvlJc w:val="left"/>
      <w:pPr>
        <w:ind w:left="10211" w:hanging="360"/>
      </w:pPr>
    </w:lvl>
    <w:lvl w:ilvl="8" w:tplc="C6EAAC94">
      <w:start w:val="1"/>
      <w:numFmt w:val="lowerRoman"/>
      <w:lvlText w:val="%9."/>
      <w:lvlJc w:val="right"/>
      <w:pPr>
        <w:ind w:left="10931" w:hanging="180"/>
      </w:pPr>
    </w:lvl>
  </w:abstractNum>
  <w:abstractNum w:abstractNumId="5">
    <w:nsid w:val="45ED676A"/>
    <w:multiLevelType w:val="hybridMultilevel"/>
    <w:tmpl w:val="ECB0CFFC"/>
    <w:lvl w:ilvl="0" w:tplc="8FEE4566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 w:tplc="E4CE774E">
      <w:numFmt w:val="none"/>
      <w:lvlText w:val=""/>
      <w:lvlJc w:val="left"/>
      <w:pPr>
        <w:tabs>
          <w:tab w:val="num" w:pos="360"/>
        </w:tabs>
      </w:pPr>
    </w:lvl>
    <w:lvl w:ilvl="2" w:tplc="6E3AFF84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 w:tplc="169A7778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 w:tplc="90D0EBDE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 w:tplc="45509306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 w:tplc="F3583E7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 w:tplc="813EB12E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 w:tplc="C19CFC7C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6">
    <w:nsid w:val="54F21722"/>
    <w:multiLevelType w:val="hybridMultilevel"/>
    <w:tmpl w:val="C18C9B20"/>
    <w:lvl w:ilvl="0" w:tplc="B43A9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4463A2">
      <w:numFmt w:val="none"/>
      <w:lvlText w:val=""/>
      <w:lvlJc w:val="left"/>
      <w:pPr>
        <w:tabs>
          <w:tab w:val="num" w:pos="360"/>
        </w:tabs>
      </w:pPr>
    </w:lvl>
    <w:lvl w:ilvl="2" w:tplc="A8FEB452">
      <w:numFmt w:val="none"/>
      <w:lvlText w:val=""/>
      <w:lvlJc w:val="left"/>
      <w:pPr>
        <w:tabs>
          <w:tab w:val="num" w:pos="360"/>
        </w:tabs>
      </w:pPr>
    </w:lvl>
    <w:lvl w:ilvl="3" w:tplc="29E0FB26">
      <w:numFmt w:val="none"/>
      <w:lvlText w:val=""/>
      <w:lvlJc w:val="left"/>
      <w:pPr>
        <w:tabs>
          <w:tab w:val="num" w:pos="360"/>
        </w:tabs>
      </w:pPr>
    </w:lvl>
    <w:lvl w:ilvl="4" w:tplc="8A2096A6">
      <w:numFmt w:val="none"/>
      <w:lvlText w:val=""/>
      <w:lvlJc w:val="left"/>
      <w:pPr>
        <w:tabs>
          <w:tab w:val="num" w:pos="360"/>
        </w:tabs>
      </w:pPr>
    </w:lvl>
    <w:lvl w:ilvl="5" w:tplc="DB4225F6">
      <w:numFmt w:val="none"/>
      <w:lvlText w:val=""/>
      <w:lvlJc w:val="left"/>
      <w:pPr>
        <w:tabs>
          <w:tab w:val="num" w:pos="360"/>
        </w:tabs>
      </w:pPr>
    </w:lvl>
    <w:lvl w:ilvl="6" w:tplc="A164E364">
      <w:numFmt w:val="none"/>
      <w:lvlText w:val=""/>
      <w:lvlJc w:val="left"/>
      <w:pPr>
        <w:tabs>
          <w:tab w:val="num" w:pos="360"/>
        </w:tabs>
      </w:pPr>
    </w:lvl>
    <w:lvl w:ilvl="7" w:tplc="FAB0B9BC">
      <w:numFmt w:val="none"/>
      <w:lvlText w:val=""/>
      <w:lvlJc w:val="left"/>
      <w:pPr>
        <w:tabs>
          <w:tab w:val="num" w:pos="360"/>
        </w:tabs>
      </w:pPr>
    </w:lvl>
    <w:lvl w:ilvl="8" w:tplc="19AAE7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AA5D52"/>
    <w:multiLevelType w:val="hybridMultilevel"/>
    <w:tmpl w:val="17DA4D64"/>
    <w:lvl w:ilvl="0" w:tplc="6540D188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lang w:val="ru-RU" w:eastAsia="en-US" w:bidi="ar-SA"/>
      </w:rPr>
    </w:lvl>
    <w:lvl w:ilvl="1" w:tplc="F984D76E">
      <w:numFmt w:val="none"/>
      <w:lvlText w:val=""/>
      <w:lvlJc w:val="left"/>
      <w:pPr>
        <w:tabs>
          <w:tab w:val="num" w:pos="360"/>
        </w:tabs>
      </w:pPr>
    </w:lvl>
    <w:lvl w:ilvl="2" w:tplc="532895D6">
      <w:start w:val="1"/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 w:tplc="E14CA282">
      <w:start w:val="1"/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 w:tplc="CF5ECA1E">
      <w:start w:val="1"/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 w:tplc="75C6A784">
      <w:start w:val="1"/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 w:tplc="E45AFFEC">
      <w:start w:val="1"/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 w:tplc="89F62808">
      <w:start w:val="1"/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 w:tplc="02E67502">
      <w:start w:val="1"/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8">
    <w:nsid w:val="615246E1"/>
    <w:multiLevelType w:val="hybridMultilevel"/>
    <w:tmpl w:val="DA744EA6"/>
    <w:lvl w:ilvl="0" w:tplc="863AC43E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F36DB00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20385B04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45E4B430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2BFEFA9A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987C527E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0C080E5A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8240BB0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DF149054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D61E3"/>
    <w:rsid w:val="00C00AA6"/>
    <w:rsid w:val="00CF639F"/>
    <w:rsid w:val="00D83B30"/>
    <w:rsid w:val="00ED61E3"/>
    <w:rsid w:val="00FD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D61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D61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D61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D61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D61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D61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D61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D61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61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ED61E3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ED61E3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D61E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ED61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61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link w:val="1"/>
    <w:uiPriority w:val="1"/>
    <w:qFormat/>
    <w:rsid w:val="00ED61E3"/>
    <w:pPr>
      <w:spacing w:before="1"/>
      <w:jc w:val="right"/>
      <w:outlineLvl w:val="0"/>
    </w:pPr>
    <w:rPr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D61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D61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D61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D61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D61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D61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D61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D61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link w:val="Heading3"/>
    <w:uiPriority w:val="9"/>
    <w:rsid w:val="00ED61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D61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D61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D61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D61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D61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D61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D61E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D61E3"/>
    <w:rPr>
      <w:sz w:val="24"/>
      <w:szCs w:val="24"/>
    </w:rPr>
  </w:style>
  <w:style w:type="character" w:customStyle="1" w:styleId="QuoteChar">
    <w:name w:val="Quote Char"/>
    <w:uiPriority w:val="29"/>
    <w:rsid w:val="00ED61E3"/>
    <w:rPr>
      <w:i/>
    </w:rPr>
  </w:style>
  <w:style w:type="character" w:customStyle="1" w:styleId="IntenseQuoteChar">
    <w:name w:val="Intense Quote Char"/>
    <w:uiPriority w:val="30"/>
    <w:rsid w:val="00ED61E3"/>
    <w:rPr>
      <w:i/>
    </w:rPr>
  </w:style>
  <w:style w:type="character" w:customStyle="1" w:styleId="EndnoteTextChar">
    <w:name w:val="Endnote Text Char"/>
    <w:uiPriority w:val="99"/>
    <w:rsid w:val="00ED61E3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ED61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D61E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D61E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D61E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D61E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D61E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D61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D61E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D61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D61E3"/>
  </w:style>
  <w:style w:type="character" w:customStyle="1" w:styleId="a4">
    <w:name w:val="Название Знак"/>
    <w:basedOn w:val="a0"/>
    <w:link w:val="a5"/>
    <w:uiPriority w:val="10"/>
    <w:rsid w:val="00ED61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1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61E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D61E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D61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D61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D61E3"/>
    <w:rPr>
      <w:i/>
    </w:rPr>
  </w:style>
  <w:style w:type="character" w:customStyle="1" w:styleId="HeaderChar">
    <w:name w:val="Header Char"/>
    <w:basedOn w:val="a0"/>
    <w:link w:val="Header"/>
    <w:uiPriority w:val="99"/>
    <w:rsid w:val="00ED61E3"/>
  </w:style>
  <w:style w:type="character" w:customStyle="1" w:styleId="FooterChar">
    <w:name w:val="Footer Char"/>
    <w:basedOn w:val="a0"/>
    <w:uiPriority w:val="99"/>
    <w:rsid w:val="00ED61E3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ED61E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D61E3"/>
  </w:style>
  <w:style w:type="table" w:customStyle="1" w:styleId="TableGridLight">
    <w:name w:val="Table Grid Light"/>
    <w:basedOn w:val="a1"/>
    <w:uiPriority w:val="59"/>
    <w:rsid w:val="00ED61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D61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ED61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61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61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61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61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61E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61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D61E3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D61E3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D61E3"/>
    <w:rPr>
      <w:sz w:val="20"/>
    </w:rPr>
  </w:style>
  <w:style w:type="character" w:styleId="ac">
    <w:name w:val="endnote reference"/>
    <w:basedOn w:val="a0"/>
    <w:uiPriority w:val="99"/>
    <w:semiHidden/>
    <w:unhideWhenUsed/>
    <w:rsid w:val="00ED61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D61E3"/>
    <w:pPr>
      <w:spacing w:after="57"/>
    </w:pPr>
  </w:style>
  <w:style w:type="paragraph" w:styleId="23">
    <w:name w:val="toc 2"/>
    <w:basedOn w:val="a"/>
    <w:next w:val="a"/>
    <w:uiPriority w:val="39"/>
    <w:unhideWhenUsed/>
    <w:rsid w:val="00ED61E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D61E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D61E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D61E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D61E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D61E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D61E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D61E3"/>
    <w:pPr>
      <w:spacing w:after="57"/>
      <w:ind w:left="2268"/>
    </w:pPr>
  </w:style>
  <w:style w:type="paragraph" w:styleId="ad">
    <w:name w:val="TOC Heading"/>
    <w:uiPriority w:val="39"/>
    <w:unhideWhenUsed/>
    <w:rsid w:val="00ED61E3"/>
  </w:style>
  <w:style w:type="paragraph" w:styleId="ae">
    <w:name w:val="table of figures"/>
    <w:basedOn w:val="a"/>
    <w:next w:val="a"/>
    <w:uiPriority w:val="99"/>
    <w:unhideWhenUsed/>
    <w:rsid w:val="00ED61E3"/>
  </w:style>
  <w:style w:type="table" w:customStyle="1" w:styleId="TableNormal">
    <w:name w:val="Table Normal"/>
    <w:uiPriority w:val="2"/>
    <w:semiHidden/>
    <w:unhideWhenUsed/>
    <w:qFormat/>
    <w:rsid w:val="00ED6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qFormat/>
    <w:rsid w:val="00ED61E3"/>
    <w:rPr>
      <w:sz w:val="16"/>
      <w:szCs w:val="16"/>
    </w:rPr>
  </w:style>
  <w:style w:type="paragraph" w:styleId="a5">
    <w:name w:val="Title"/>
    <w:basedOn w:val="a"/>
    <w:link w:val="a4"/>
    <w:uiPriority w:val="1"/>
    <w:qFormat/>
    <w:rsid w:val="00ED61E3"/>
    <w:pPr>
      <w:ind w:left="1685" w:right="1724"/>
      <w:jc w:val="center"/>
    </w:pPr>
  </w:style>
  <w:style w:type="paragraph" w:styleId="af1">
    <w:name w:val="List Paragraph"/>
    <w:basedOn w:val="a"/>
    <w:uiPriority w:val="34"/>
    <w:qFormat/>
    <w:rsid w:val="00ED61E3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ED61E3"/>
  </w:style>
  <w:style w:type="table" w:styleId="af2">
    <w:name w:val="Table Grid"/>
    <w:basedOn w:val="a1"/>
    <w:uiPriority w:val="39"/>
    <w:rsid w:val="00ED61E3"/>
    <w:pPr>
      <w:widowControl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61E3"/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rsid w:val="00ED61E3"/>
    <w:rPr>
      <w:rFonts w:ascii="Calibri" w:eastAsia="Times New Roman" w:hAnsi="Calibri" w:cs="Calibri"/>
      <w:szCs w:val="20"/>
      <w:lang w:val="ru-RU" w:eastAsia="zh-CN"/>
    </w:rPr>
  </w:style>
  <w:style w:type="table" w:customStyle="1" w:styleId="13">
    <w:name w:val="Сетка таблицы1"/>
    <w:basedOn w:val="a1"/>
    <w:next w:val="af2"/>
    <w:uiPriority w:val="39"/>
    <w:rsid w:val="00ED61E3"/>
    <w:pPr>
      <w:widowControl/>
    </w:pPr>
    <w:rPr>
      <w:rFonts w:eastAsia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11"/>
    <w:uiPriority w:val="1"/>
    <w:rsid w:val="00ED61E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0">
    <w:name w:val="Основной текст Знак"/>
    <w:basedOn w:val="a0"/>
    <w:link w:val="af"/>
    <w:rsid w:val="00ED61E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4">
    <w:name w:val="Верхний колонтитул1"/>
    <w:basedOn w:val="a"/>
    <w:link w:val="af3"/>
    <w:uiPriority w:val="99"/>
    <w:unhideWhenUsed/>
    <w:rsid w:val="00ED61E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4"/>
    <w:uiPriority w:val="99"/>
    <w:rsid w:val="00ED61E3"/>
    <w:rPr>
      <w:rFonts w:ascii="Times New Roman" w:eastAsia="Times New Roman" w:hAnsi="Times New Roman" w:cs="Times New Roman"/>
      <w:lang w:val="ru-RU"/>
    </w:rPr>
  </w:style>
  <w:style w:type="paragraph" w:customStyle="1" w:styleId="15">
    <w:name w:val="Нижний колонтитул1"/>
    <w:basedOn w:val="a"/>
    <w:link w:val="af4"/>
    <w:uiPriority w:val="99"/>
    <w:unhideWhenUsed/>
    <w:rsid w:val="00ED61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5"/>
    <w:uiPriority w:val="99"/>
    <w:rsid w:val="00ED61E3"/>
    <w:rPr>
      <w:rFonts w:ascii="Times New Roman" w:eastAsia="Times New Roman" w:hAnsi="Times New Roman" w:cs="Times New Roman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ED61E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61E3"/>
    <w:rPr>
      <w:rFonts w:ascii="Segoe UI" w:eastAsia="Times New Roman" w:hAnsi="Segoe UI" w:cs="Segoe UI"/>
      <w:sz w:val="18"/>
      <w:szCs w:val="18"/>
      <w:lang w:val="ru-RU"/>
    </w:rPr>
  </w:style>
  <w:style w:type="paragraph" w:styleId="af7">
    <w:name w:val="footnote text"/>
    <w:basedOn w:val="a"/>
    <w:link w:val="af8"/>
    <w:rsid w:val="00ED61E3"/>
    <w:pPr>
      <w:widowControl/>
    </w:pPr>
    <w:rPr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7"/>
    <w:rsid w:val="00ED61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footnote reference"/>
    <w:uiPriority w:val="99"/>
    <w:unhideWhenUsed/>
    <w:rsid w:val="00ED61E3"/>
    <w:rPr>
      <w:vertAlign w:val="superscript"/>
    </w:rPr>
  </w:style>
  <w:style w:type="character" w:customStyle="1" w:styleId="2">
    <w:name w:val="Заголовок 2 Знак"/>
    <w:basedOn w:val="a0"/>
    <w:link w:val="21"/>
    <w:uiPriority w:val="9"/>
    <w:semiHidden/>
    <w:rsid w:val="00ED61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D61E3"/>
    <w:rPr>
      <w:rFonts w:ascii="Times New Roman" w:hAnsi="Times New Roman"/>
      <w:sz w:val="28"/>
    </w:rPr>
  </w:style>
  <w:style w:type="character" w:styleId="afa">
    <w:name w:val="annotation reference"/>
    <w:basedOn w:val="a0"/>
    <w:uiPriority w:val="99"/>
    <w:qFormat/>
    <w:rsid w:val="00ED61E3"/>
    <w:rPr>
      <w:rFonts w:cs="Times New Roman"/>
      <w:sz w:val="16"/>
    </w:rPr>
  </w:style>
  <w:style w:type="paragraph" w:styleId="afb">
    <w:name w:val="annotation text"/>
    <w:basedOn w:val="a"/>
    <w:link w:val="16"/>
    <w:uiPriority w:val="99"/>
    <w:qFormat/>
    <w:rsid w:val="00ED61E3"/>
    <w:pPr>
      <w:widowControl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c">
    <w:name w:val="Текст примечания Знак"/>
    <w:basedOn w:val="a0"/>
    <w:uiPriority w:val="99"/>
    <w:semiHidden/>
    <w:rsid w:val="00ED61E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6">
    <w:name w:val="Текст примечания Знак1"/>
    <w:basedOn w:val="a0"/>
    <w:link w:val="afb"/>
    <w:uiPriority w:val="99"/>
    <w:rsid w:val="00ED61E3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character" w:styleId="afd">
    <w:name w:val="Hyperlink"/>
    <w:basedOn w:val="a0"/>
    <w:uiPriority w:val="99"/>
    <w:unhideWhenUsed/>
    <w:rsid w:val="00ED61E3"/>
    <w:rPr>
      <w:color w:val="0000FF" w:themeColor="hyperlink"/>
      <w:u w:val="single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D61E3"/>
    <w:pPr>
      <w:widowControl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f">
    <w:name w:val="Тема примечания Знак"/>
    <w:basedOn w:val="16"/>
    <w:link w:val="afe"/>
    <w:uiPriority w:val="99"/>
    <w:semiHidden/>
    <w:rsid w:val="00ED61E3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8770-5EE5-4E34-9D60-3C65AC1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1552</Words>
  <Characters>8850</Characters>
  <Application>Microsoft Office Word</Application>
  <DocSecurity>0</DocSecurity>
  <Lines>73</Lines>
  <Paragraphs>20</Paragraphs>
  <ScaleCrop>false</ScaleCrop>
  <Company>minfin AO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minfin user</cp:lastModifiedBy>
  <cp:revision>3</cp:revision>
  <dcterms:created xsi:type="dcterms:W3CDTF">2023-10-11T09:15:00Z</dcterms:created>
  <dcterms:modified xsi:type="dcterms:W3CDTF">2023-10-11T09:16:00Z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