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2E" w:rsidRDefault="00DB4B2E" w:rsidP="00DB4B2E">
      <w:pPr>
        <w:pStyle w:val="ConsPlusNormal"/>
        <w:outlineLvl w:val="0"/>
      </w:pPr>
      <w:r>
        <w:t>Без лингвистической правки</w:t>
      </w:r>
    </w:p>
    <w:p w:rsidR="00EE15D2" w:rsidRDefault="00EE15D2">
      <w:pPr>
        <w:pStyle w:val="ConsPlusNormal"/>
        <w:jc w:val="right"/>
        <w:outlineLvl w:val="0"/>
      </w:pPr>
      <w:r>
        <w:t>Утверждены</w:t>
      </w:r>
    </w:p>
    <w:p w:rsidR="00EE15D2" w:rsidRDefault="00EE15D2">
      <w:pPr>
        <w:pStyle w:val="ConsPlusNormal"/>
        <w:jc w:val="right"/>
      </w:pPr>
      <w:r>
        <w:t>постановлением Правительства</w:t>
      </w:r>
    </w:p>
    <w:p w:rsidR="00EE15D2" w:rsidRDefault="00EE15D2">
      <w:pPr>
        <w:pStyle w:val="ConsPlusNormal"/>
        <w:jc w:val="right"/>
      </w:pPr>
      <w:r>
        <w:t>Архангельской области</w:t>
      </w:r>
    </w:p>
    <w:p w:rsidR="00EE15D2" w:rsidRDefault="00EE15D2">
      <w:pPr>
        <w:pStyle w:val="ConsPlusNormal"/>
        <w:jc w:val="right"/>
      </w:pPr>
      <w:r>
        <w:t>от 11.10.2013 N 478-пп</w:t>
      </w:r>
    </w:p>
    <w:p w:rsidR="00540FF4" w:rsidRDefault="00540FF4">
      <w:pPr>
        <w:pStyle w:val="ConsPlusNormal"/>
        <w:jc w:val="right"/>
      </w:pPr>
      <w:r>
        <w:t>(в ред. от 23.10.2024 № 875-пп)</w:t>
      </w:r>
    </w:p>
    <w:p w:rsidR="00EE15D2" w:rsidRDefault="00EE15D2">
      <w:pPr>
        <w:pStyle w:val="ConsPlusNormal"/>
        <w:ind w:firstLine="540"/>
        <w:jc w:val="both"/>
      </w:pPr>
    </w:p>
    <w:p w:rsidR="00EE15D2" w:rsidRDefault="00EE15D2">
      <w:pPr>
        <w:pStyle w:val="ConsPlusTitle"/>
        <w:jc w:val="center"/>
      </w:pPr>
      <w:bookmarkStart w:id="0" w:name="Par83"/>
      <w:bookmarkEnd w:id="0"/>
      <w:r>
        <w:t>СТРАТЕГИЧЕСКИЕ ПРИОРИТЕТЫ</w:t>
      </w:r>
    </w:p>
    <w:p w:rsidR="00EE15D2" w:rsidRDefault="00EE15D2">
      <w:pPr>
        <w:pStyle w:val="ConsPlusTitle"/>
        <w:jc w:val="center"/>
      </w:pPr>
      <w:r>
        <w:t>ГОСУДАРСТВЕННОЙ ПРОГРАММЫ АРХАНГЕЛЬСКОЙ ОБЛАСТИ "ОБЕСПЕЧЕНИЕ</w:t>
      </w:r>
    </w:p>
    <w:p w:rsidR="00EE15D2" w:rsidRDefault="00EE15D2">
      <w:pPr>
        <w:pStyle w:val="ConsPlusTitle"/>
        <w:jc w:val="center"/>
      </w:pPr>
      <w:r>
        <w:t>ОБЩЕСТВЕННОГО ПОРЯДКА, ПРОФИЛАКТИКА ПРЕСТУПНОСТИ, КОРРУПЦИИ,</w:t>
      </w:r>
    </w:p>
    <w:p w:rsidR="00EE15D2" w:rsidRDefault="00EE15D2">
      <w:pPr>
        <w:pStyle w:val="ConsPlusTitle"/>
        <w:jc w:val="center"/>
      </w:pPr>
      <w:r>
        <w:t>ТЕРРОРИЗМА, ЭКСТРЕМИЗМА И НЕЗАКОННОГО ПОТРЕБЛЕНИЯ</w:t>
      </w:r>
    </w:p>
    <w:p w:rsidR="00EE15D2" w:rsidRDefault="00EE15D2">
      <w:pPr>
        <w:pStyle w:val="ConsPlusTitle"/>
        <w:jc w:val="center"/>
      </w:pPr>
      <w:r>
        <w:t>НАРКОТИЧЕСКИХ СРЕДСТВ И ПСИХОТРОПНЫХ ВЕЩЕСТВ</w:t>
      </w:r>
    </w:p>
    <w:p w:rsidR="00EE15D2" w:rsidRDefault="00EE15D2">
      <w:pPr>
        <w:pStyle w:val="ConsPlusTitle"/>
        <w:jc w:val="center"/>
      </w:pPr>
      <w:r>
        <w:t>В АРХАНГЕЛЬСКОЙ ОБЛАСТИ"</w:t>
      </w:r>
    </w:p>
    <w:p w:rsidR="00EE15D2" w:rsidRDefault="00EE15D2">
      <w:pPr>
        <w:pStyle w:val="ConsPlusNormal"/>
      </w:pPr>
    </w:p>
    <w:p w:rsidR="00EE15D2" w:rsidRDefault="00EE15D2">
      <w:pPr>
        <w:pStyle w:val="ConsPlusNormal"/>
        <w:ind w:firstLine="540"/>
        <w:jc w:val="both"/>
      </w:pPr>
    </w:p>
    <w:p w:rsidR="00EE15D2" w:rsidRDefault="00EE15D2">
      <w:pPr>
        <w:pStyle w:val="ConsPlusNormal"/>
        <w:ind w:firstLine="540"/>
        <w:jc w:val="both"/>
      </w:pPr>
      <w:proofErr w:type="gramStart"/>
      <w:r>
        <w:t>Архангельская область - один из крупнейших по территории субъектов Российской Федерации, в котором на 1 января 2023 года проживают 964 304 человека и сосредоточено значительное количество промышленных организаций, в том числе организаций военно-промышленного комплекса, кредитных и образовательных организаций, объектов культуры.</w:t>
      </w:r>
      <w:proofErr w:type="gramEnd"/>
    </w:p>
    <w:p w:rsidR="00EE15D2" w:rsidRDefault="00EE15D2">
      <w:pPr>
        <w:pStyle w:val="ConsPlusNormal"/>
        <w:spacing w:before="240"/>
        <w:ind w:firstLine="540"/>
        <w:jc w:val="both"/>
      </w:pPr>
      <w:r>
        <w:t>Основными задачами исполнительных органов государственной власти Архангельской области (далее - исполнительные органы) в сфере обеспечения безопасности населения Архангельской области являются:</w:t>
      </w:r>
    </w:p>
    <w:p w:rsidR="00EE15D2" w:rsidRDefault="00EE15D2">
      <w:pPr>
        <w:pStyle w:val="ConsPlusNormal"/>
        <w:spacing w:before="240"/>
        <w:ind w:firstLine="540"/>
        <w:jc w:val="both"/>
      </w:pPr>
      <w:r>
        <w:t xml:space="preserve">выработка комплекса эффективных мер по профилактике преступности, алкоголизма, наркомании, незаконной миграции, </w:t>
      </w:r>
      <w:proofErr w:type="spellStart"/>
      <w:r>
        <w:t>ресоциализации</w:t>
      </w:r>
      <w:proofErr w:type="spellEnd"/>
      <w:r>
        <w:t xml:space="preserve"> лиц, освобожденных из учреждений уголовно-исполнительной системы;</w:t>
      </w:r>
    </w:p>
    <w:p w:rsidR="00EE15D2" w:rsidRDefault="00EE15D2">
      <w:pPr>
        <w:pStyle w:val="ConsPlusNormal"/>
        <w:spacing w:before="240"/>
        <w:ind w:firstLine="540"/>
        <w:jc w:val="both"/>
      </w:pPr>
      <w:r>
        <w:t>обеспечение системного участия и координирующей роли исполнительных органов и органов местного самоуправления муниципальных образований Архангельской области (далее соответственно - органы местного самоуправления, муниципальные образования) в предупреждении правонарушений;</w:t>
      </w:r>
    </w:p>
    <w:p w:rsidR="00EE15D2" w:rsidRDefault="00EE15D2">
      <w:pPr>
        <w:pStyle w:val="ConsPlusNormal"/>
        <w:spacing w:before="240"/>
        <w:ind w:firstLine="540"/>
        <w:jc w:val="both"/>
      </w:pPr>
      <w:r>
        <w:t>привлечение к предупреждению правонарушений организационного, финансового и воспитательного потенциала государственных учреждений Архангельской области и муниципальных учреждений муниципальных образований Архангельской области, организаций, осуществляющих деятельность на территории Архангельской области;</w:t>
      </w:r>
    </w:p>
    <w:p w:rsidR="00EE15D2" w:rsidRDefault="00EE15D2">
      <w:pPr>
        <w:pStyle w:val="ConsPlusNormal"/>
        <w:spacing w:before="240"/>
        <w:ind w:firstLine="540"/>
        <w:jc w:val="both"/>
      </w:pPr>
      <w:r>
        <w:t>создание и координация деятельности общественных объединений, деятельность которых направлена на профилактику незаконного потребления наркотических средств и психотропных веществ;</w:t>
      </w:r>
    </w:p>
    <w:p w:rsidR="00EE15D2" w:rsidRDefault="00EE15D2">
      <w:pPr>
        <w:pStyle w:val="ConsPlusNormal"/>
        <w:spacing w:before="240"/>
        <w:ind w:firstLine="540"/>
        <w:jc w:val="both"/>
      </w:pPr>
      <w:r>
        <w:t>целевое финансирование мероприятий по предупреждению наиболее распространенных видов преступлений и правонарушений, совершенных на территории Архангельской области;</w:t>
      </w:r>
    </w:p>
    <w:p w:rsidR="00EE15D2" w:rsidRDefault="00EE15D2">
      <w:pPr>
        <w:pStyle w:val="ConsPlusNormal"/>
        <w:spacing w:before="240"/>
        <w:ind w:firstLine="540"/>
        <w:jc w:val="both"/>
      </w:pPr>
      <w:r>
        <w:t>создание телекоммуникационных систем, средств видеоконтроля за обстановкой в местах массового пребывания людей, на объектах транспорта;</w:t>
      </w:r>
    </w:p>
    <w:p w:rsidR="00EE15D2" w:rsidRDefault="00EE15D2">
      <w:pPr>
        <w:pStyle w:val="ConsPlusNormal"/>
        <w:spacing w:before="240"/>
        <w:ind w:firstLine="540"/>
        <w:jc w:val="both"/>
      </w:pPr>
      <w:r>
        <w:t>популяризация физкультурно-спортивной массовой работы в молодежной среде, патриотическое воспитание и пропаганда здорового образа жизни.</w:t>
      </w:r>
    </w:p>
    <w:p w:rsidR="00EE15D2" w:rsidRDefault="00EE15D2">
      <w:pPr>
        <w:pStyle w:val="ConsPlusNormal"/>
        <w:spacing w:before="240"/>
        <w:ind w:firstLine="540"/>
        <w:jc w:val="both"/>
      </w:pPr>
      <w:r>
        <w:t xml:space="preserve">Усилиями правоохранительных органов и исполнительных органов </w:t>
      </w:r>
      <w:proofErr w:type="gramStart"/>
      <w:r>
        <w:t>криминогенная обстановка</w:t>
      </w:r>
      <w:proofErr w:type="gramEnd"/>
      <w:r>
        <w:t xml:space="preserve"> в Архангельской области в настоящее время стабилизирована.</w:t>
      </w:r>
    </w:p>
    <w:p w:rsidR="00EE15D2" w:rsidRDefault="00EE15D2">
      <w:pPr>
        <w:pStyle w:val="ConsPlusNormal"/>
        <w:spacing w:before="240"/>
        <w:ind w:firstLine="540"/>
        <w:jc w:val="both"/>
      </w:pPr>
      <w:r>
        <w:lastRenderedPageBreak/>
        <w:t xml:space="preserve">Продолжает снижаться общий уровень преступности, </w:t>
      </w:r>
      <w:proofErr w:type="spellStart"/>
      <w:r>
        <w:t>этноконфессиональная</w:t>
      </w:r>
      <w:proofErr w:type="spellEnd"/>
      <w:r>
        <w:t xml:space="preserve"> ситуация оценивается как стабильная, ярко выраженных конфликтов на межнациональной почве не зарегистрировано.</w:t>
      </w:r>
    </w:p>
    <w:p w:rsidR="00EE15D2" w:rsidRDefault="00EE15D2">
      <w:pPr>
        <w:pStyle w:val="ConsPlusNormal"/>
        <w:spacing w:before="240"/>
        <w:ind w:firstLine="540"/>
        <w:jc w:val="both"/>
      </w:pPr>
      <w:r>
        <w:t>Вместе с тем серьезные опасения вызывают уличная преступность, рост числа наркозависимых лиц, потенциальная угроза совершения террористических актов.</w:t>
      </w:r>
    </w:p>
    <w:p w:rsidR="00EE15D2" w:rsidRDefault="00EE15D2">
      <w:pPr>
        <w:pStyle w:val="ConsPlusNormal"/>
        <w:spacing w:before="240"/>
        <w:ind w:firstLine="540"/>
        <w:jc w:val="both"/>
      </w:pPr>
      <w:r>
        <w:t>Продолжают негативно отражаться на состоянии преступности в Архангельской области чрезмерное употребление спиртных напитков и употребление наркотических средств населением. Общее количество лиц, совершивших преступления в состоянии наркотического возбуждения, увеличилось на 10,6 процента (с 47 до 52).</w:t>
      </w:r>
    </w:p>
    <w:p w:rsidR="00EE15D2" w:rsidRDefault="00EE15D2">
      <w:pPr>
        <w:pStyle w:val="ConsPlusNormal"/>
        <w:spacing w:before="240"/>
        <w:ind w:firstLine="540"/>
        <w:jc w:val="both"/>
      </w:pPr>
      <w:proofErr w:type="gramStart"/>
      <w:r>
        <w:t>По данным министерства здравоохранения Архангельской области, в 2022 году в государственных медицинских организациях Архангельской области зарегистрировано 893 потребителя наркотических средств (в 2018 году - 1175, в 2019 году - 1110, в 2020 году - 830, в 2021 году - 816), из них с диагнозом "наркомания" - 552 человека (в 2017 году - 639, в 2018 году - 656, в 2019 году - 703, в 2020 году - 520, в</w:t>
      </w:r>
      <w:proofErr w:type="gramEnd"/>
      <w:r>
        <w:t xml:space="preserve"> </w:t>
      </w:r>
      <w:proofErr w:type="gramStart"/>
      <w:r>
        <w:t>2021 году - 506).</w:t>
      </w:r>
      <w:proofErr w:type="gramEnd"/>
    </w:p>
    <w:p w:rsidR="00EE15D2" w:rsidRDefault="00EE15D2">
      <w:pPr>
        <w:pStyle w:val="ConsPlusNormal"/>
        <w:spacing w:before="240"/>
        <w:ind w:firstLine="540"/>
        <w:jc w:val="both"/>
      </w:pPr>
      <w:r>
        <w:t>Анализ статистических данных за пять лет показывает снижение общей заболеваемости наркоманией в структуре наркологических расстройств в Архангельской области:</w:t>
      </w:r>
    </w:p>
    <w:p w:rsidR="00EE15D2" w:rsidRDefault="00EE15D2">
      <w:pPr>
        <w:pStyle w:val="ConsPlusNormal"/>
        <w:spacing w:before="240"/>
        <w:ind w:firstLine="540"/>
        <w:jc w:val="both"/>
      </w:pPr>
      <w:r>
        <w:t>в 2018 году - 59,0 случая на 100 тыс. населения (4,6 процента от общего количества наркологических расстройств);</w:t>
      </w:r>
    </w:p>
    <w:p w:rsidR="00EE15D2" w:rsidRDefault="00EE15D2">
      <w:pPr>
        <w:pStyle w:val="ConsPlusNormal"/>
        <w:spacing w:before="240"/>
        <w:ind w:firstLine="540"/>
        <w:jc w:val="both"/>
      </w:pPr>
      <w:r>
        <w:t>в 2019 году - 63,8 случая на 100 тыс. населения (5 процентов от общего количества наркологических расстройств);</w:t>
      </w:r>
    </w:p>
    <w:p w:rsidR="00EE15D2" w:rsidRDefault="00EE15D2">
      <w:pPr>
        <w:pStyle w:val="ConsPlusNormal"/>
        <w:spacing w:before="240"/>
        <w:ind w:firstLine="540"/>
        <w:jc w:val="both"/>
      </w:pPr>
      <w:r>
        <w:t>в 2020 году - 47,6 случая общей заболеваемости наркоманией на 100 тыс. населения (5 процентов от общего количества наркологических расстройств);</w:t>
      </w:r>
    </w:p>
    <w:p w:rsidR="00EE15D2" w:rsidRDefault="00EE15D2">
      <w:pPr>
        <w:pStyle w:val="ConsPlusNormal"/>
        <w:spacing w:before="240"/>
        <w:ind w:firstLine="540"/>
        <w:jc w:val="both"/>
      </w:pPr>
      <w:r>
        <w:t>в 2021 году - 46,7 случая общей заболеваемости наркоманией на 100 тыс. населения (4,2 процента от общего количества наркологических расстройств);</w:t>
      </w:r>
    </w:p>
    <w:p w:rsidR="00EE15D2" w:rsidRDefault="00EE15D2">
      <w:pPr>
        <w:pStyle w:val="ConsPlusNormal"/>
        <w:spacing w:before="240"/>
        <w:ind w:firstLine="540"/>
        <w:jc w:val="both"/>
      </w:pPr>
      <w:r>
        <w:t>в 2022 году - 51,5 случая общей заболеваемости наркоманией на 100 тыс. населения (4,5 процента от общего количества зарегистрированных наркологических расстройств).</w:t>
      </w:r>
    </w:p>
    <w:p w:rsidR="00EE15D2" w:rsidRDefault="00EE15D2">
      <w:pPr>
        <w:pStyle w:val="ConsPlusNormal"/>
        <w:spacing w:before="240"/>
        <w:ind w:firstLine="540"/>
        <w:jc w:val="both"/>
      </w:pPr>
      <w:r>
        <w:t>При этом общая заболеваемость наркоманией в Архангельской области в 2021 году была в 3,3 раза меньше в сравнении с данными по Российской Федерации (155,5 случая на 100 тыс. населения).</w:t>
      </w:r>
    </w:p>
    <w:p w:rsidR="00EE15D2" w:rsidRDefault="00EE15D2">
      <w:pPr>
        <w:pStyle w:val="ConsPlusNormal"/>
        <w:spacing w:before="240"/>
        <w:ind w:firstLine="540"/>
        <w:jc w:val="both"/>
      </w:pPr>
      <w:r>
        <w:t>Количество зарегистрированных потребителей наркотических сре</w:t>
      </w:r>
      <w:proofErr w:type="gramStart"/>
      <w:r>
        <w:t>дств с вр</w:t>
      </w:r>
      <w:proofErr w:type="gramEnd"/>
      <w:r>
        <w:t>едными последствиями в Архангельской области увеличилось на 11,2 процента (с 28,6 случая на 100 тыс. населения в 2021 году до 31,8 случая на 100 тыс. населения в 2022 году).</w:t>
      </w:r>
    </w:p>
    <w:p w:rsidR="00EE15D2" w:rsidRDefault="00EE15D2">
      <w:pPr>
        <w:pStyle w:val="ConsPlusNormal"/>
        <w:spacing w:before="240"/>
        <w:ind w:firstLine="540"/>
        <w:jc w:val="both"/>
      </w:pPr>
      <w:proofErr w:type="gramStart"/>
      <w:r>
        <w:t xml:space="preserve">В 2022 году по сравнению с предыдущими годами количество потребителей наркотических средств с вредными последствиями в возрасте 18 лет и старше, зарегистрированных в государственных учреждениях здравоохранения Архангельской области, увеличилось и составило 305 человек (в 2021 году - 278 человек, в 2020 году - 257 человек), из них 86 человек (28,2 процента) зарегистрировано в </w:t>
      </w:r>
      <w:proofErr w:type="spellStart"/>
      <w:r>
        <w:t>Котласском</w:t>
      </w:r>
      <w:proofErr w:type="spellEnd"/>
      <w:r>
        <w:t xml:space="preserve"> муниципальном округе Архангельской области (в 2021 году - 81</w:t>
      </w:r>
      <w:proofErr w:type="gramEnd"/>
      <w:r>
        <w:t xml:space="preserve"> человек), 93 человека (30,5 процента) - в городском округе Архангельской области "Северодвинск" (в 2021 году - 86 человек (30,9 процента).</w:t>
      </w:r>
    </w:p>
    <w:p w:rsidR="00EE15D2" w:rsidRDefault="00EE15D2">
      <w:pPr>
        <w:pStyle w:val="ConsPlusNormal"/>
        <w:spacing w:before="240"/>
        <w:ind w:firstLine="540"/>
        <w:jc w:val="both"/>
      </w:pPr>
      <w:proofErr w:type="gramStart"/>
      <w:r>
        <w:t xml:space="preserve">В сравнении с 2021 годом в 2022 году в 1,86 раза увеличилось количество впервые принятых на диспансерное наблюдение </w:t>
      </w:r>
      <w:proofErr w:type="spellStart"/>
      <w:r>
        <w:t>наркопотребителей</w:t>
      </w:r>
      <w:proofErr w:type="spellEnd"/>
      <w:r>
        <w:t xml:space="preserve">, которое составило 176 человек (в 2019 году - 138 человек, в 2020 году - 101 человек, в 2021 году - 95 человек), в том числе с диагнозом "синдром зависимости от наркотических средств" - 97 пациентов (в 2019 году - 85 человек, в 2020 году - 59 </w:t>
      </w:r>
      <w:r>
        <w:lastRenderedPageBreak/>
        <w:t>человек</w:t>
      </w:r>
      <w:proofErr w:type="gramEnd"/>
      <w:r>
        <w:t>, в 2021 году - 42 человека).</w:t>
      </w:r>
    </w:p>
    <w:p w:rsidR="00EE15D2" w:rsidRDefault="00EE15D2">
      <w:pPr>
        <w:pStyle w:val="ConsPlusNormal"/>
        <w:spacing w:before="240"/>
        <w:ind w:firstLine="540"/>
        <w:jc w:val="both"/>
      </w:pPr>
      <w:proofErr w:type="gramStart"/>
      <w:r>
        <w:t>В 2022 году с диагнозом "наркомания" зарегистрированы врачами-наркологами 7 несовершеннолетних (в 2018 году - 6, в 2019 году - 7, в 2020 году - 4, в 2021 году - 7), с диагнозом "употребление наркотических средств с вредными последствиями" - 36 несовершеннолетних (в 2018 году - 48, в 2019 году - 56, в 2020 году - 53, в 2021 году - 32).</w:t>
      </w:r>
      <w:proofErr w:type="gramEnd"/>
      <w:r>
        <w:t xml:space="preserve"> Среди несовершеннолетних потребителей наркотических сре</w:t>
      </w:r>
      <w:proofErr w:type="gramStart"/>
      <w:r>
        <w:t>дств с вр</w:t>
      </w:r>
      <w:proofErr w:type="gramEnd"/>
      <w:r>
        <w:t>едными последствиями в 2022 году 22 человека зарегистрированы в городском округе "Город Архангельск", что составило 61,1 процента всех случаев в Архангельской области (в 2021 году - 23 человека, 71,8 процента всех случаев в области).</w:t>
      </w:r>
    </w:p>
    <w:p w:rsidR="00EE15D2" w:rsidRDefault="00EE15D2">
      <w:pPr>
        <w:pStyle w:val="ConsPlusNormal"/>
        <w:spacing w:before="240"/>
        <w:ind w:firstLine="540"/>
        <w:jc w:val="both"/>
      </w:pPr>
      <w:r>
        <w:t>По информации медицинских организаций, осуществляющих деятельность на территории Архангельской области, за 2022 год среди населения Архангельской области зарегистрировано 32 случая острых отравлений от употребления наркотических средств, показатель составил 3,0 на 100 тыс. населения, что в 1,8 раза выше уровня отравлений за 2021 год (1,8), 2020 год (3,2). Количество смертельных отравлений наркотическими средствами и психотропными веществами в 2022 году составило 18 случаев (в 2013 году - 9, в 2014 году - 10, в 2015 году - 16, в 2016 году - 2, в 2017 году - 2, в 2018 году - 1, в 2019 году - 7, в 2020 году - 10, в 2021 году - 10).</w:t>
      </w:r>
    </w:p>
    <w:p w:rsidR="00EE15D2" w:rsidRDefault="00EE15D2">
      <w:pPr>
        <w:pStyle w:val="ConsPlusNormal"/>
        <w:spacing w:before="240"/>
        <w:ind w:firstLine="540"/>
        <w:jc w:val="both"/>
      </w:pPr>
      <w:r>
        <w:t>За 2022 год количество преступлений сократилось (-1,2 процента) и составило 16 786 фактов (в 2021 году - 16 996).</w:t>
      </w:r>
    </w:p>
    <w:p w:rsidR="00EE15D2" w:rsidRDefault="00EE15D2">
      <w:pPr>
        <w:pStyle w:val="ConsPlusNormal"/>
        <w:spacing w:before="240"/>
        <w:ind w:firstLine="540"/>
        <w:jc w:val="both"/>
      </w:pPr>
      <w:proofErr w:type="gramStart"/>
      <w:r>
        <w:t>Сократилось количество убийств на 12,4 процента (со 129 до 113), изнасилований - на 48,4 процента (с 31 до 16), разбоев - на 2,1 процента (с 48 до 47), краж - на 8,3 процента (с 6024 до 5526), краж транспортных средств - на 18,6 процента (с 97 до 79), фактов уничтожения имущества путем поджога - на 10,3 процента (с 87 до 78), угонов транспортных средств - на</w:t>
      </w:r>
      <w:proofErr w:type="gramEnd"/>
      <w:r>
        <w:t xml:space="preserve"> 8,6 процента (со 174 до 159). </w:t>
      </w:r>
      <w:proofErr w:type="gramStart"/>
      <w:r>
        <w:t>Вместе с тем отмечено увеличение количества умышленных причинений тяжкого вреда здоровью на 14,5 процента (со 145 до 166), краж из квартир - на 5,9 процента (с 237 до 251), фактов мошенничества - на 5,7 процента (с 2729 до 288), грабежей - на 4,7 процента (с 446 до 467), фактов вымогательства - на 17,7 процента (со 113 до 133).</w:t>
      </w:r>
      <w:proofErr w:type="gramEnd"/>
    </w:p>
    <w:p w:rsidR="00EE15D2" w:rsidRDefault="00EE15D2">
      <w:pPr>
        <w:pStyle w:val="ConsPlusNormal"/>
        <w:spacing w:before="240"/>
        <w:ind w:firstLine="540"/>
        <w:jc w:val="both"/>
      </w:pPr>
      <w:r>
        <w:t>Количество зарегистрированных преступлений тяжкого и особо тяжкого характера увеличилось на 3,6 процента (с 4722 до 4893).</w:t>
      </w:r>
    </w:p>
    <w:p w:rsidR="00EE15D2" w:rsidRDefault="00EE15D2">
      <w:pPr>
        <w:pStyle w:val="ConsPlusNormal"/>
        <w:spacing w:before="240"/>
        <w:ind w:firstLine="540"/>
        <w:jc w:val="both"/>
      </w:pPr>
      <w:r>
        <w:t>В общем числе зарегистрированных преступлений органами внутренних дел выявлено 89,9 процента преступлений (15 094), из них 8,3 процента (1249) - на стадии приготовления и покушения.</w:t>
      </w:r>
    </w:p>
    <w:p w:rsidR="00EE15D2" w:rsidRDefault="00EE15D2">
      <w:pPr>
        <w:pStyle w:val="ConsPlusNormal"/>
        <w:spacing w:before="240"/>
        <w:ind w:firstLine="540"/>
        <w:jc w:val="both"/>
      </w:pPr>
      <w:r>
        <w:t>Большая часть преступлений (81,3 процента) зафиксирована в городах и поселках городского типа (13 650; +2,1 процента), 18,7 процента - в сельской местности, где зарегистрировано 3133 факта (-2 процента).</w:t>
      </w:r>
    </w:p>
    <w:p w:rsidR="00EE15D2" w:rsidRDefault="00EE15D2">
      <w:pPr>
        <w:pStyle w:val="ConsPlusNormal"/>
        <w:spacing w:before="240"/>
        <w:ind w:firstLine="540"/>
        <w:jc w:val="both"/>
      </w:pPr>
      <w:r>
        <w:t>Уровень преступности в Архангельской области составил 156,9 преступления на 10 тысяч населения (в 2021 году - 156,1), из них тяжких и особо тяжких преступлений - 45,7 (в 2021 году - 43,4).</w:t>
      </w:r>
    </w:p>
    <w:p w:rsidR="00EE15D2" w:rsidRDefault="00EE15D2">
      <w:pPr>
        <w:pStyle w:val="ConsPlusNormal"/>
        <w:spacing w:before="240"/>
        <w:ind w:firstLine="540"/>
        <w:jc w:val="both"/>
      </w:pPr>
      <w:r>
        <w:t xml:space="preserve">Значительно выше </w:t>
      </w:r>
      <w:proofErr w:type="spellStart"/>
      <w:r>
        <w:t>среднеобластного</w:t>
      </w:r>
      <w:proofErr w:type="spellEnd"/>
      <w:r>
        <w:t xml:space="preserve"> данный показатель отмечается на территориях городского округа Архангельской области "Город Коряжма" (235,6), </w:t>
      </w:r>
      <w:proofErr w:type="spellStart"/>
      <w:r>
        <w:t>Няндомского</w:t>
      </w:r>
      <w:proofErr w:type="spellEnd"/>
      <w:r>
        <w:t xml:space="preserve"> (209), </w:t>
      </w:r>
      <w:proofErr w:type="spellStart"/>
      <w:r>
        <w:t>Красноборского</w:t>
      </w:r>
      <w:proofErr w:type="spellEnd"/>
      <w:r>
        <w:t xml:space="preserve"> (199,1) и Приморского (178,8) муниципальных округов Архангельской области, а также Октябрьского (235,6) округа городского округа "Город Архангельск".</w:t>
      </w:r>
    </w:p>
    <w:p w:rsidR="00EE15D2" w:rsidRDefault="00EE15D2">
      <w:pPr>
        <w:pStyle w:val="ConsPlusNormal"/>
        <w:spacing w:before="240"/>
        <w:ind w:firstLine="540"/>
        <w:jc w:val="both"/>
      </w:pPr>
      <w:r>
        <w:t xml:space="preserve">Выше </w:t>
      </w:r>
      <w:proofErr w:type="spellStart"/>
      <w:r>
        <w:t>среднероссийского</w:t>
      </w:r>
      <w:proofErr w:type="spellEnd"/>
      <w:r>
        <w:t xml:space="preserve"> показателя отмечается уровень убийств - в 2,1 раза (1,1 против 0,52), причинений тяжкого вреда здоровью - в 1,3 раза (1,6 против 1,19). Суммированный уровень убийств и причинений тяжкого вреда здоровью значительно превышает </w:t>
      </w:r>
      <w:proofErr w:type="spellStart"/>
      <w:r>
        <w:t>среднеобластной</w:t>
      </w:r>
      <w:proofErr w:type="spellEnd"/>
      <w:r>
        <w:t xml:space="preserve"> показатель в городском округе Архангельской области "Город Коряжма", Плесецком </w:t>
      </w:r>
      <w:proofErr w:type="spellStart"/>
      <w:r>
        <w:t>Вилегодском</w:t>
      </w:r>
      <w:proofErr w:type="spellEnd"/>
      <w:r>
        <w:t xml:space="preserve">, </w:t>
      </w:r>
      <w:proofErr w:type="spellStart"/>
      <w:r>
        <w:t>Верхнетоемском</w:t>
      </w:r>
      <w:proofErr w:type="spellEnd"/>
      <w:r>
        <w:t xml:space="preserve">, </w:t>
      </w:r>
      <w:proofErr w:type="spellStart"/>
      <w:r>
        <w:t>Няндомском</w:t>
      </w:r>
      <w:proofErr w:type="spellEnd"/>
      <w:r>
        <w:t xml:space="preserve">, Холмогорском муниципальных округах Архангельской области, </w:t>
      </w:r>
      <w:proofErr w:type="spellStart"/>
      <w:r>
        <w:lastRenderedPageBreak/>
        <w:t>Коношском</w:t>
      </w:r>
      <w:proofErr w:type="spellEnd"/>
      <w:r>
        <w:t xml:space="preserve"> муниципальном районе Архангельской области.</w:t>
      </w:r>
    </w:p>
    <w:p w:rsidR="00EE15D2" w:rsidRDefault="00EE15D2">
      <w:pPr>
        <w:pStyle w:val="ConsPlusNormal"/>
        <w:spacing w:before="240"/>
        <w:ind w:firstLine="540"/>
        <w:jc w:val="both"/>
      </w:pPr>
      <w:r>
        <w:t xml:space="preserve">Больше, чем в среднем по России, и уровень краж - на 7,9 процента (51,7 против 47,9), грабежей - в 2,2 раза (4,4 против 2,01), разбоев - на 48,1 процента (0,4 </w:t>
      </w:r>
      <w:proofErr w:type="gramStart"/>
      <w:r>
        <w:t>против</w:t>
      </w:r>
      <w:proofErr w:type="gramEnd"/>
      <w:r>
        <w:t xml:space="preserve"> 0,27). За 2022 год самый высокий показатель (в сумме уровень грабежей и разбоев) отмечается в городском округе "Город Архангельск", городских округах Архангельской области "Северодвинск", "Котлас", Ленском муниципальном районе Архангельской области.</w:t>
      </w:r>
    </w:p>
    <w:p w:rsidR="00EE15D2" w:rsidRDefault="00EE15D2">
      <w:pPr>
        <w:pStyle w:val="ConsPlusNormal"/>
        <w:spacing w:before="240"/>
        <w:ind w:firstLine="540"/>
        <w:jc w:val="both"/>
      </w:pPr>
      <w:r>
        <w:t xml:space="preserve">Основной массив зарегистрированных преступлений составляют деяния, совершенные с использованием информационных технологий, число которых увеличилось на 7,9 процента (с 4727 до 5100), в том числе тяжких и особо тяжких преступлений - на 4,6 процента (с 2672 </w:t>
      </w:r>
      <w:proofErr w:type="gramStart"/>
      <w:r>
        <w:t>до</w:t>
      </w:r>
      <w:proofErr w:type="gramEnd"/>
      <w:r>
        <w:t xml:space="preserve"> 2796). Удельный вес данного вида преступлений в общей структуре преступности в Архангельской области увеличился на 2,6 процента и составил 30,4 процента (в 2021 году - 27,8 процента), в том числе по тяжким и особо тяжким преступлениям - на 0,5 процента (с 56,6 до 57,1 процента). Зафиксировано 1385 (-17,7 процента, в 2021 году - 1682) краж и 2156 (+6,2 процента, в 2021 году - 2031) - мошенничеств, совершенных дистанционным способом.</w:t>
      </w:r>
    </w:p>
    <w:p w:rsidR="00EE15D2" w:rsidRDefault="00EE15D2">
      <w:pPr>
        <w:pStyle w:val="ConsPlusNormal"/>
        <w:spacing w:before="240"/>
        <w:ind w:firstLine="540"/>
        <w:jc w:val="both"/>
      </w:pPr>
      <w:r>
        <w:t>Около 40 процентов всех зарегистрированных преступлений (36 процентов, - 2,4 процента) составляют хищения чужого имущества, в том числе совершенные путем кражи (32,9 процента, - 2,5 процента), грабежа и разбоя (3,1 процента в сумме, +0,2 процента). На убийства, причинение тяжкого вреда здоровью, изнасилования, приходится 1,8 процента.</w:t>
      </w:r>
    </w:p>
    <w:p w:rsidR="00EE15D2" w:rsidRDefault="00EE15D2">
      <w:pPr>
        <w:pStyle w:val="ConsPlusNormal"/>
        <w:spacing w:before="240"/>
        <w:ind w:firstLine="540"/>
        <w:jc w:val="both"/>
      </w:pPr>
      <w:r>
        <w:t>Наиболее значимым (67,1 процента) мотивом совершения преступлений является корыстный, то есть стремление получить конкретные материальные блага, 5,1 процента - ревность, ссора и другие бытовые причины.</w:t>
      </w:r>
    </w:p>
    <w:p w:rsidR="00EE15D2" w:rsidRDefault="00EE15D2">
      <w:pPr>
        <w:pStyle w:val="ConsPlusNormal"/>
        <w:spacing w:before="240"/>
        <w:ind w:firstLine="540"/>
        <w:jc w:val="both"/>
      </w:pPr>
      <w:r>
        <w:t xml:space="preserve">В 2022 году число преступлений, совершенных с применением огнестрельного оружия, взрывчатых веществ и взрывных устройств, увеличилось на 22,2 процента и составило 33 (в 2021 году - 27) факта. Данные преступления зарегистрированы в городском округе "Город Архангельск" (6), городских округах Архангельской области "Северодвинск", "Котлас" (по 2), Плесецком (2), </w:t>
      </w:r>
      <w:proofErr w:type="spellStart"/>
      <w:r>
        <w:t>Верхнетоемском</w:t>
      </w:r>
      <w:proofErr w:type="spellEnd"/>
      <w:r>
        <w:t xml:space="preserve"> (1), </w:t>
      </w:r>
      <w:proofErr w:type="spellStart"/>
      <w:r>
        <w:t>Виноградовском</w:t>
      </w:r>
      <w:proofErr w:type="spellEnd"/>
      <w:r>
        <w:t xml:space="preserve"> (1) Лешуконском (1), Красноборском (8), </w:t>
      </w:r>
      <w:proofErr w:type="spellStart"/>
      <w:r>
        <w:t>Няндомском</w:t>
      </w:r>
      <w:proofErr w:type="spellEnd"/>
      <w:r>
        <w:t xml:space="preserve"> (3), Приморском (2), </w:t>
      </w:r>
      <w:proofErr w:type="spellStart"/>
      <w:r>
        <w:t>Пинежском</w:t>
      </w:r>
      <w:proofErr w:type="spellEnd"/>
      <w:r>
        <w:t xml:space="preserve"> (1) муниципальных округах Архангельской области, </w:t>
      </w:r>
      <w:proofErr w:type="spellStart"/>
      <w:r>
        <w:t>Коношском</w:t>
      </w:r>
      <w:proofErr w:type="spellEnd"/>
      <w:r>
        <w:t xml:space="preserve"> (3), Ленском (1) муниципальных районах Архангельской области.</w:t>
      </w:r>
    </w:p>
    <w:p w:rsidR="00EE15D2" w:rsidRDefault="00EE15D2">
      <w:pPr>
        <w:pStyle w:val="ConsPlusNormal"/>
        <w:spacing w:before="240"/>
        <w:ind w:firstLine="540"/>
        <w:jc w:val="both"/>
      </w:pPr>
      <w:r>
        <w:t xml:space="preserve">Уровень таких преступлений в пересчете на 10 тыс. населения составил 0,3, что ниже </w:t>
      </w:r>
      <w:proofErr w:type="spellStart"/>
      <w:r>
        <w:t>среднероссийского</w:t>
      </w:r>
      <w:proofErr w:type="spellEnd"/>
      <w:r>
        <w:t xml:space="preserve"> показателя (0,34).</w:t>
      </w:r>
    </w:p>
    <w:p w:rsidR="00EE15D2" w:rsidRDefault="00EE15D2">
      <w:pPr>
        <w:pStyle w:val="ConsPlusNormal"/>
        <w:spacing w:before="240"/>
        <w:ind w:firstLine="540"/>
        <w:jc w:val="both"/>
      </w:pPr>
      <w:r>
        <w:t xml:space="preserve">В 2022 году количество преступлений, совершенных лицами, не имеющими постоянного источника доходов, увеличилось на 4,6 процента (с 5441 до 5690, или 63,9 процента от общего числа раскрытых преступлений). </w:t>
      </w:r>
      <w:proofErr w:type="gramStart"/>
      <w:r>
        <w:t xml:space="preserve">Наиболее значительный рост данного показателя наблюдался на территории городских округов Архангельской области "Северодвинск" (+28,6 процента), "Коряжма" (+26,6 процента), "Котлас" (+11,4 процента), а также Мезенского (+53,8 процента), </w:t>
      </w:r>
      <w:proofErr w:type="spellStart"/>
      <w:r>
        <w:t>Коношского</w:t>
      </w:r>
      <w:proofErr w:type="spellEnd"/>
      <w:r>
        <w:t xml:space="preserve"> (+34,5 процента), </w:t>
      </w:r>
      <w:proofErr w:type="spellStart"/>
      <w:r>
        <w:t>Няндомского</w:t>
      </w:r>
      <w:proofErr w:type="spellEnd"/>
      <w:r>
        <w:t xml:space="preserve"> (+33,7 процента), Лешуконского (+20 процентов) муниципальных округов Архангельской области, Ленского муниципального района Архангельской области (+19,5 процента).</w:t>
      </w:r>
      <w:proofErr w:type="gramEnd"/>
    </w:p>
    <w:p w:rsidR="00EE15D2" w:rsidRDefault="00EE15D2">
      <w:pPr>
        <w:pStyle w:val="ConsPlusNormal"/>
        <w:spacing w:before="240"/>
        <w:ind w:firstLine="540"/>
        <w:jc w:val="both"/>
      </w:pPr>
      <w:r>
        <w:t xml:space="preserve">На 4,3 процента (с 917 до 878) уменьшилось число преступлений, совершенных в составе группы лиц, их удельный вес в общем числе раскрытых преступлений сократился и составил 9,9 процента (в 2021 году - 10,1 процента). </w:t>
      </w:r>
      <w:proofErr w:type="gramStart"/>
      <w:r>
        <w:t>Наиболее часто совершались преступления в составе групп в городском округе "Город Архангельск" (+15,5 процента), городских округах Архангельской области "Котлас" (+50 процента), "</w:t>
      </w:r>
      <w:proofErr w:type="spellStart"/>
      <w:r>
        <w:t>Новодвинск</w:t>
      </w:r>
      <w:proofErr w:type="spellEnd"/>
      <w:r>
        <w:t xml:space="preserve">" (+33,3 процента), "Мирный" (+9,1 процента), </w:t>
      </w:r>
      <w:proofErr w:type="spellStart"/>
      <w:r>
        <w:t>Няндомском</w:t>
      </w:r>
      <w:proofErr w:type="spellEnd"/>
      <w:r>
        <w:t xml:space="preserve"> (в 2,1 раза), </w:t>
      </w:r>
      <w:proofErr w:type="spellStart"/>
      <w:r>
        <w:t>Каргопольском</w:t>
      </w:r>
      <w:proofErr w:type="spellEnd"/>
      <w:r>
        <w:t xml:space="preserve"> (+25 процентов), Лешуконском (с 1 до 4) муниципальных округах Архангельской области, Онежском (+10,3 процента) </w:t>
      </w:r>
      <w:proofErr w:type="spellStart"/>
      <w:r>
        <w:t>Коношском</w:t>
      </w:r>
      <w:proofErr w:type="spellEnd"/>
      <w:r>
        <w:t xml:space="preserve"> (+75 процентов) муниципальных районах Архангельской области.</w:t>
      </w:r>
      <w:proofErr w:type="gramEnd"/>
    </w:p>
    <w:p w:rsidR="00EE15D2" w:rsidRDefault="00EE15D2">
      <w:pPr>
        <w:pStyle w:val="ConsPlusNormal"/>
        <w:spacing w:before="240"/>
        <w:ind w:firstLine="540"/>
        <w:jc w:val="both"/>
      </w:pPr>
      <w:r>
        <w:lastRenderedPageBreak/>
        <w:t>Улучшились результаты по профилактике преступлений, совершенных лицами подросткового возраста. По итогам 2022 года отмечается сокращение на 15,5 процента числа уголовно-наказуемых деяний, совершенных несовершеннолетними и при их участии (с 439 до 371, Россия - 4,4 процента). Увеличилось количество преступлений, совершенных подростками на территориях городских округов Архангельской области "Коряжма" (+62,5 процента), "</w:t>
      </w:r>
      <w:proofErr w:type="gramStart"/>
      <w:r>
        <w:t>Мирный</w:t>
      </w:r>
      <w:proofErr w:type="gramEnd"/>
      <w:r>
        <w:t xml:space="preserve">" (в 2,7 раза), </w:t>
      </w:r>
      <w:proofErr w:type="spellStart"/>
      <w:r>
        <w:t>Виноградовского</w:t>
      </w:r>
      <w:proofErr w:type="spellEnd"/>
      <w:r>
        <w:t xml:space="preserve"> (в 3 раза), </w:t>
      </w:r>
      <w:proofErr w:type="spellStart"/>
      <w:r>
        <w:t>Вилегодского</w:t>
      </w:r>
      <w:proofErr w:type="spellEnd"/>
      <w:r>
        <w:t xml:space="preserve"> и Лешуконского (с 1 до 3), Мезенского (с 1 до 4), Шенкурского (+20 процентов) муниципальных округов Архангельской области, </w:t>
      </w:r>
      <w:proofErr w:type="spellStart"/>
      <w:r>
        <w:t>Коношского</w:t>
      </w:r>
      <w:proofErr w:type="spellEnd"/>
      <w:r>
        <w:t>, Ленского (в 2 раза) муниципальных районов Архангельской области.</w:t>
      </w:r>
    </w:p>
    <w:p w:rsidR="00EE15D2" w:rsidRDefault="00EE15D2">
      <w:pPr>
        <w:pStyle w:val="ConsPlusNormal"/>
        <w:spacing w:before="240"/>
        <w:ind w:firstLine="540"/>
        <w:jc w:val="both"/>
      </w:pPr>
      <w:r>
        <w:t>Удельный вес преступлений, совершенных несовершеннолетними, снизился на 0,6 процента и составил 4,2 процента (в 2021 году - 4,8 процента).</w:t>
      </w:r>
    </w:p>
    <w:p w:rsidR="00EE15D2" w:rsidRDefault="00EE15D2">
      <w:pPr>
        <w:pStyle w:val="ConsPlusNormal"/>
        <w:spacing w:before="240"/>
        <w:ind w:firstLine="540"/>
        <w:jc w:val="both"/>
      </w:pPr>
      <w:r>
        <w:t>Возросло число преступлений с участием лиц, ранее совершавших преступления, на 6,7 процента (с 5989 до 6391), их доля в общей структуре раскрытых преступлений возросла и составила 71,8 процента (в 2021 году - 66 процентов). Ими совершено 89 (+9,9 процента) убийств и покушений на убийство, 107 (+2,9 процента) умышленных причинений тяжкого вреда здоровью, 13 (-31,6 процента) изнасилований, 1951 (+16,9 процента) кража, 47 (-21 процент) разбоев, 360 (+14,6 процента) грабежей.</w:t>
      </w:r>
    </w:p>
    <w:p w:rsidR="00EE15D2" w:rsidRDefault="00EE15D2">
      <w:pPr>
        <w:pStyle w:val="ConsPlusNormal"/>
        <w:spacing w:before="240"/>
        <w:ind w:firstLine="540"/>
        <w:jc w:val="both"/>
      </w:pPr>
      <w:r>
        <w:t xml:space="preserve">Наиболее значительный рост рецидивов преступлений зафиксирован в городских округах Архангельской области "Северодвинск" (+31,8 процента), "Коряжма" (+37,8 процента), а также в </w:t>
      </w:r>
      <w:proofErr w:type="spellStart"/>
      <w:r>
        <w:t>Вилегодском</w:t>
      </w:r>
      <w:proofErr w:type="spellEnd"/>
      <w:r>
        <w:t xml:space="preserve">, </w:t>
      </w:r>
      <w:proofErr w:type="spellStart"/>
      <w:r>
        <w:t>Няндомском</w:t>
      </w:r>
      <w:proofErr w:type="spellEnd"/>
      <w:r>
        <w:t xml:space="preserve"> (+28,2), Мезенском (+33,3 процента), Холмогорском (+28,9 процента) муниципальных округах Архангельской области, Ленском муниципальном районе Архангельской области. (+57,8 процента).</w:t>
      </w:r>
    </w:p>
    <w:p w:rsidR="00EE15D2" w:rsidRDefault="00EE15D2">
      <w:pPr>
        <w:pStyle w:val="ConsPlusNormal"/>
        <w:spacing w:before="240"/>
        <w:ind w:firstLine="540"/>
        <w:jc w:val="both"/>
      </w:pPr>
      <w:r>
        <w:t xml:space="preserve">В целом по Архангельской области уменьшилось на 11,1 процента (с 3304 до 2938) число преступлений, совершенных лицами в состоянии алкогольного опьянения. </w:t>
      </w:r>
      <w:proofErr w:type="gramStart"/>
      <w:r>
        <w:t xml:space="preserve">Рост зафиксирован на территориях городских округов Архангельской области "Северодвинск" (+1,2 процента) и "Коряжма" (+44,6 процента), </w:t>
      </w:r>
      <w:proofErr w:type="spellStart"/>
      <w:r>
        <w:t>Няндомского</w:t>
      </w:r>
      <w:proofErr w:type="spellEnd"/>
      <w:r>
        <w:t xml:space="preserve"> (+3,5 процента), </w:t>
      </w:r>
      <w:proofErr w:type="spellStart"/>
      <w:r>
        <w:t>Устьянского</w:t>
      </w:r>
      <w:proofErr w:type="spellEnd"/>
      <w:r>
        <w:t xml:space="preserve"> (+11 процентов) муниципальных округов Архангельской области, </w:t>
      </w:r>
      <w:proofErr w:type="spellStart"/>
      <w:r>
        <w:t>Коношского</w:t>
      </w:r>
      <w:proofErr w:type="spellEnd"/>
      <w:r>
        <w:t xml:space="preserve"> (+37,3 процента), Ленского (+76,5 процента) муниципальных районов Архангельской области.</w:t>
      </w:r>
      <w:proofErr w:type="gramEnd"/>
    </w:p>
    <w:p w:rsidR="00EE15D2" w:rsidRDefault="00EE15D2">
      <w:pPr>
        <w:pStyle w:val="ConsPlusNormal"/>
        <w:spacing w:before="240"/>
        <w:ind w:firstLine="540"/>
        <w:jc w:val="both"/>
      </w:pPr>
      <w:r>
        <w:t>В общем числе раскрытых преступлений доля преступных посягательств, совершенных лицами в состоянии алкогольного опьянения, сократилась на 3,4 процента и составила 33 процента (в 2021 году - 36,4 процента).</w:t>
      </w:r>
    </w:p>
    <w:p w:rsidR="00EE15D2" w:rsidRDefault="00EE15D2">
      <w:pPr>
        <w:pStyle w:val="ConsPlusNormal"/>
        <w:spacing w:before="240"/>
        <w:ind w:firstLine="540"/>
        <w:jc w:val="both"/>
      </w:pPr>
      <w:proofErr w:type="gramStart"/>
      <w:r>
        <w:t>Иностранными гражданами и лицами без гражданства на территории Архангельской области совершено 42 преступления, что на 14,3 процента меньше, чем за 2021 год (в 2021 году - 49), а гражданами государств - участников Содружества Независимых Государств - 28 преступлений (-17,6 процента, в 2021 году - 34), их удельный вес составил 66,7 процента (+2,7 процента, в 2021 году - 69,4 процента).</w:t>
      </w:r>
      <w:proofErr w:type="gramEnd"/>
    </w:p>
    <w:p w:rsidR="00EE15D2" w:rsidRDefault="00EE15D2">
      <w:pPr>
        <w:pStyle w:val="ConsPlusNormal"/>
        <w:spacing w:before="240"/>
        <w:ind w:firstLine="540"/>
        <w:jc w:val="both"/>
      </w:pPr>
      <w:r>
        <w:t>В общем числе раскрытых преступлений доля преступлений, совершенных иностранными гражданами и лицами без гражданства, не изменилась и составила 0,5 процента.</w:t>
      </w:r>
    </w:p>
    <w:p w:rsidR="00EE15D2" w:rsidRDefault="00EE15D2">
      <w:pPr>
        <w:pStyle w:val="ConsPlusNormal"/>
        <w:spacing w:before="240"/>
        <w:ind w:firstLine="540"/>
        <w:jc w:val="both"/>
      </w:pPr>
      <w:r>
        <w:t>Количество преступлений в отношении иностранных граждан и лиц без гражданства сократилось на 28,2 процента и составило 28 (в 2021 году - 39).</w:t>
      </w:r>
    </w:p>
    <w:p w:rsidR="00EE15D2" w:rsidRDefault="00EE15D2">
      <w:pPr>
        <w:pStyle w:val="ConsPlusNormal"/>
        <w:spacing w:before="240"/>
        <w:ind w:firstLine="540"/>
        <w:jc w:val="both"/>
      </w:pPr>
      <w:r>
        <w:t>Одной из приоритетных задач, обозначенных Президентом Российской Федерации, является противодействие преступлениям, совершенным с использованием информационно-телекоммуникационных технологий, повышение цифровой грамотности населения, в том числе путем информирования граждан о новых разновидностях подобных преступлений.</w:t>
      </w:r>
    </w:p>
    <w:p w:rsidR="00EE15D2" w:rsidRDefault="00EE15D2">
      <w:pPr>
        <w:pStyle w:val="ConsPlusNormal"/>
        <w:spacing w:before="240"/>
        <w:ind w:firstLine="540"/>
        <w:jc w:val="both"/>
      </w:pPr>
      <w:r>
        <w:t xml:space="preserve">На протяжении последних трех лет </w:t>
      </w:r>
      <w:proofErr w:type="spellStart"/>
      <w:r>
        <w:t>киберхищения</w:t>
      </w:r>
      <w:proofErr w:type="spellEnd"/>
      <w:r>
        <w:t xml:space="preserve"> составляют более 20 процентов от общего </w:t>
      </w:r>
      <w:r>
        <w:lastRenderedPageBreak/>
        <w:t>числа зарегистрированных на территории Архангельской области преступлений.</w:t>
      </w:r>
    </w:p>
    <w:p w:rsidR="00EE15D2" w:rsidRDefault="00EE15D2">
      <w:pPr>
        <w:pStyle w:val="ConsPlusNormal"/>
        <w:spacing w:before="240"/>
        <w:ind w:firstLine="540"/>
        <w:jc w:val="both"/>
      </w:pPr>
      <w:r>
        <w:t xml:space="preserve">Доля зарегистрированных преступлений в сфере </w:t>
      </w:r>
      <w:proofErr w:type="spellStart"/>
      <w:r>
        <w:t>киберхищений</w:t>
      </w:r>
      <w:proofErr w:type="spellEnd"/>
      <w:r>
        <w:t xml:space="preserve"> по годам составляет:</w:t>
      </w:r>
    </w:p>
    <w:p w:rsidR="00EE15D2" w:rsidRDefault="00EE15D2">
      <w:pPr>
        <w:pStyle w:val="ConsPlusNormal"/>
        <w:spacing w:before="240"/>
        <w:ind w:firstLine="540"/>
        <w:jc w:val="both"/>
      </w:pPr>
      <w:r>
        <w:t>в 2020 году - 24,3 процента;</w:t>
      </w:r>
    </w:p>
    <w:p w:rsidR="00EE15D2" w:rsidRDefault="00EE15D2">
      <w:pPr>
        <w:pStyle w:val="ConsPlusNormal"/>
        <w:spacing w:before="240"/>
        <w:ind w:firstLine="540"/>
        <w:jc w:val="both"/>
      </w:pPr>
      <w:r>
        <w:t>в 2021 году - 21,8 процента;</w:t>
      </w:r>
    </w:p>
    <w:p w:rsidR="00EE15D2" w:rsidRDefault="00EE15D2">
      <w:pPr>
        <w:pStyle w:val="ConsPlusNormal"/>
        <w:spacing w:before="240"/>
        <w:ind w:firstLine="540"/>
        <w:jc w:val="both"/>
      </w:pPr>
      <w:r>
        <w:t>в 2022 году - 21,1 процента.</w:t>
      </w:r>
    </w:p>
    <w:p w:rsidR="00EE15D2" w:rsidRDefault="00EE15D2">
      <w:pPr>
        <w:pStyle w:val="ConsPlusNormal"/>
        <w:spacing w:before="240"/>
        <w:ind w:firstLine="540"/>
        <w:jc w:val="both"/>
      </w:pPr>
      <w:r>
        <w:t>Комплекс мероприятий по профилактике краж и мошенничеств, совершенных дистанционным способом, проводимый среди населения Архангельской области совместно с исполнительными органами, органами местного самоуправления и организациями, осуществляющими банковскую деятельность, позволил добиться по итогам 2022 года снижения на 4,6 процента количества зарегистрированных преступлений.</w:t>
      </w:r>
    </w:p>
    <w:p w:rsidR="00EE15D2" w:rsidRDefault="00EE15D2">
      <w:pPr>
        <w:pStyle w:val="ConsPlusNormal"/>
        <w:spacing w:before="240"/>
        <w:ind w:firstLine="540"/>
        <w:jc w:val="both"/>
      </w:pPr>
      <w:r>
        <w:t xml:space="preserve">В то же время общий причиненный ущерб гражданам в 2022 году возрос до 533,9 млн. рублей с 349,5 </w:t>
      </w:r>
      <w:proofErr w:type="spellStart"/>
      <w:proofErr w:type="gramStart"/>
      <w:r>
        <w:t>млн</w:t>
      </w:r>
      <w:proofErr w:type="spellEnd"/>
      <w:proofErr w:type="gramEnd"/>
      <w:r>
        <w:t xml:space="preserve"> рублей в 2020 году. Потерпевшими от краж и мошенничеств, совершенных дистанционным способом, в 2022 году стали более 900 граждан, проживающих на территории Архангельской области, из которых каждый третий - пенсионер по старости.</w:t>
      </w:r>
    </w:p>
    <w:p w:rsidR="00EE15D2" w:rsidRDefault="00EE15D2">
      <w:pPr>
        <w:pStyle w:val="ConsPlusNormal"/>
        <w:spacing w:before="240"/>
        <w:ind w:firstLine="540"/>
        <w:jc w:val="both"/>
      </w:pPr>
      <w:r>
        <w:t>В текущем году на территории Архангельской области продолжился рост числа зарегистрированных краж и мошенничеств, совершенных дистанционным способом. По итогам трех месяцев 2023 года зарегистрировано 1043 подобных преступления, что на 17 процентов больше аналогичного периода 2022 года. Причиненный материальный ущерб гражданам уже составил более 184 млн. рублей.</w:t>
      </w:r>
    </w:p>
    <w:p w:rsidR="00EE15D2" w:rsidRDefault="00EE15D2">
      <w:pPr>
        <w:pStyle w:val="ConsPlusNormal"/>
        <w:spacing w:before="240"/>
        <w:ind w:firstLine="540"/>
        <w:jc w:val="both"/>
      </w:pPr>
      <w:r>
        <w:t>Кроме того, за последние три года Управление Министерства внутренних дел Российской Федерации по Архангельской области фиксирует кратный рост фактов неправомерного доступа к компьютерной информации, в первую очередь - взлом и модификация охраняемых законом сведений, содержащихся на Едином портале государственных и муниципальных услуг (функций).</w:t>
      </w:r>
    </w:p>
    <w:p w:rsidR="00EE15D2" w:rsidRDefault="00EE15D2">
      <w:pPr>
        <w:pStyle w:val="ConsPlusNormal"/>
        <w:spacing w:before="240"/>
        <w:ind w:firstLine="540"/>
        <w:jc w:val="both"/>
      </w:pPr>
      <w:proofErr w:type="gramStart"/>
      <w:r>
        <w:t>В 2022 году в ходе проведения оперативно-розыскных мероприятий и мониторинга информационно-телекоммуникационной сети "Интернет" на территории Архангельской области сотрудниками правоохранительных органов выявлено 12 преступлений террористической и экстремисткой направленности, по которым возбуждено 10 (в 2021 году - 5) уголовных дел террористической направленности и 2 (в 2021 году - 1) уголовных дела по преступлениям экстремистской направленности.</w:t>
      </w:r>
      <w:proofErr w:type="gramEnd"/>
      <w:r>
        <w:t xml:space="preserve"> Также в 2022 году локализованы угрозы противоправных действий по умышленному совершению анонимных угроз об акте терроризма на объектах социальной инфраструктуры.</w:t>
      </w:r>
    </w:p>
    <w:p w:rsidR="00EE15D2" w:rsidRDefault="00EE15D2">
      <w:pPr>
        <w:pStyle w:val="ConsPlusNormal"/>
        <w:spacing w:before="240"/>
        <w:ind w:firstLine="540"/>
        <w:jc w:val="both"/>
      </w:pPr>
      <w:r>
        <w:t>Меры по профилактике коррупции, основные направления деятельности по повышению эффективности противодействия коррупции, подлежащие реализации в деятельности органов государственной власти Архангельской области, определены:</w:t>
      </w:r>
    </w:p>
    <w:p w:rsidR="00EE15D2" w:rsidRPr="00605E3E" w:rsidRDefault="00EE15D2">
      <w:pPr>
        <w:pStyle w:val="ConsPlusNormal"/>
        <w:spacing w:before="240"/>
        <w:ind w:firstLine="540"/>
        <w:jc w:val="both"/>
      </w:pPr>
      <w:r w:rsidRPr="00605E3E">
        <w:t xml:space="preserve">Федеральным </w:t>
      </w:r>
      <w:hyperlink r:id="rId6" w:history="1">
        <w:r w:rsidRPr="00605E3E">
          <w:t>законом</w:t>
        </w:r>
      </w:hyperlink>
      <w:r w:rsidRPr="00605E3E">
        <w:t xml:space="preserve"> от 25 декабря 2008 года N 273-ФЗ "О противодействии коррупции" (далее - Федеральный закон N 273-ФЗ);</w:t>
      </w:r>
    </w:p>
    <w:p w:rsidR="00EE15D2" w:rsidRPr="00605E3E" w:rsidRDefault="00EE15D2">
      <w:pPr>
        <w:pStyle w:val="ConsPlusNormal"/>
        <w:spacing w:before="240"/>
        <w:ind w:firstLine="540"/>
        <w:jc w:val="both"/>
      </w:pPr>
      <w:r w:rsidRPr="00605E3E">
        <w:t xml:space="preserve">Национальной стратегией противодействия коррупции, утвержденной </w:t>
      </w:r>
      <w:hyperlink r:id="rId7" w:history="1">
        <w:r w:rsidRPr="00605E3E">
          <w:t>Указом</w:t>
        </w:r>
      </w:hyperlink>
      <w:r w:rsidRPr="00605E3E">
        <w:t xml:space="preserve"> Президента Российской Федерации от 13 апреля 2010 года N 460;</w:t>
      </w:r>
    </w:p>
    <w:p w:rsidR="00EE15D2" w:rsidRPr="00605E3E" w:rsidRDefault="00EE15D2">
      <w:pPr>
        <w:pStyle w:val="ConsPlusNormal"/>
        <w:spacing w:before="240"/>
        <w:ind w:firstLine="540"/>
        <w:jc w:val="both"/>
      </w:pPr>
      <w:r w:rsidRPr="00605E3E">
        <w:t>планом противодействия коррупции в Архангельской области на 2021 - 2024 годы, утвержденным указом Губернатора Архангельской области от 7 сентября 2021 года N 116-у.</w:t>
      </w:r>
    </w:p>
    <w:p w:rsidR="00EE15D2" w:rsidRPr="00605E3E" w:rsidRDefault="00EE15D2">
      <w:pPr>
        <w:pStyle w:val="ConsPlusNormal"/>
        <w:spacing w:before="240"/>
        <w:ind w:firstLine="540"/>
        <w:jc w:val="both"/>
      </w:pPr>
      <w:r w:rsidRPr="00605E3E">
        <w:t xml:space="preserve">В ходе осуществления надзора за исполнением законодательства о государственной (муниципальной) службе и противодействии коррупции органами прокуратуры Архангельской </w:t>
      </w:r>
      <w:r w:rsidRPr="00605E3E">
        <w:lastRenderedPageBreak/>
        <w:t>области за 2022 год выявлено 1834 (в 2021 году - 1939) случая нарушений законодательства Российской Федерации.</w:t>
      </w:r>
    </w:p>
    <w:p w:rsidR="00EE15D2" w:rsidRPr="00605E3E" w:rsidRDefault="00EE15D2">
      <w:pPr>
        <w:pStyle w:val="ConsPlusNormal"/>
        <w:spacing w:before="240"/>
        <w:ind w:firstLine="540"/>
        <w:jc w:val="both"/>
      </w:pPr>
      <w:r w:rsidRPr="00605E3E">
        <w:t>Для устранения выявленных в ходе проверок нарушений законодательства Российской Федерации прокурорами органов прокуратуры Архангельской области внесено 267 (в 2021 году - 267) представлений, к дисциплинарной ответственности привлечено 461 (в 2021 году - 547) лицо.</w:t>
      </w:r>
    </w:p>
    <w:p w:rsidR="00EE15D2" w:rsidRPr="00605E3E" w:rsidRDefault="00EE15D2">
      <w:pPr>
        <w:pStyle w:val="ConsPlusNormal"/>
        <w:spacing w:before="240"/>
        <w:ind w:firstLine="540"/>
        <w:jc w:val="both"/>
      </w:pPr>
      <w:r w:rsidRPr="00605E3E">
        <w:t>Повышенное внимание уделяется вопросам поступления на государственную (муниципальную) службу, ее прохождению, соблюдению установленных законодательством о противодействии коррупции ограничений и запретов, требований о предотвращении или урегулировании конфликта интересов, исполнения обязанностей, установленных Федеральным законом N 273-ФЗ и другими федеральными законами.</w:t>
      </w:r>
    </w:p>
    <w:p w:rsidR="00EE15D2" w:rsidRPr="00605E3E" w:rsidRDefault="00EE15D2">
      <w:pPr>
        <w:pStyle w:val="ConsPlusNormal"/>
        <w:spacing w:before="240"/>
        <w:ind w:firstLine="540"/>
        <w:jc w:val="both"/>
      </w:pPr>
      <w:r w:rsidRPr="00605E3E">
        <w:t>За 2022 год выявлено 243 (в 2021 году - 277) преступления коррупционной направленности. Наиболее подверженными коррупции являются сферы реализации полномочий должностными лицами федеральных органов государственной власти и органов государственной власти Архангельской области, в частности правоохранительных и контролирующих органов.</w:t>
      </w:r>
    </w:p>
    <w:p w:rsidR="00EE15D2" w:rsidRPr="00605E3E" w:rsidRDefault="00EE15D2">
      <w:pPr>
        <w:pStyle w:val="ConsPlusNormal"/>
        <w:spacing w:before="240"/>
        <w:ind w:firstLine="540"/>
        <w:jc w:val="both"/>
      </w:pPr>
      <w:r w:rsidRPr="00605E3E">
        <w:t>Общий ущерб, причиненный преступлениями коррупционной направленности, составил 368 016 (в 2021 году - 88 445) тыс. рублей, возмещено 139 937 (в 2021 году - 4837) тыс. рублей или 38 процентов (в 2021 году - 5,5 процента), наложен арест на имущество стоимостью 473 619 (в 2021 году - 16 621) тыс. рублей. Изъято имущества, денежных средств и ценностей на сумму 8380 (в 2021 году - 1513) тыс. рублей.</w:t>
      </w:r>
    </w:p>
    <w:p w:rsidR="00EE15D2" w:rsidRPr="00605E3E" w:rsidRDefault="00EE15D2">
      <w:pPr>
        <w:pStyle w:val="ConsPlusNormal"/>
        <w:spacing w:before="240"/>
        <w:ind w:firstLine="540"/>
        <w:jc w:val="both"/>
      </w:pPr>
      <w:r w:rsidRPr="00605E3E">
        <w:t>Наиболее актуальными и значимыми для Архангельской области способами совершения преступлений являются:</w:t>
      </w:r>
    </w:p>
    <w:p w:rsidR="00EE15D2" w:rsidRPr="00605E3E" w:rsidRDefault="00EE15D2">
      <w:pPr>
        <w:pStyle w:val="ConsPlusNormal"/>
        <w:spacing w:before="240"/>
        <w:ind w:firstLine="540"/>
        <w:jc w:val="both"/>
      </w:pPr>
      <w:r w:rsidRPr="00605E3E">
        <w:t>взяточничество и мошенничество при использовании бюджетных сре</w:t>
      </w:r>
      <w:proofErr w:type="gramStart"/>
      <w:r w:rsidRPr="00605E3E">
        <w:t>дств в р</w:t>
      </w:r>
      <w:proofErr w:type="gramEnd"/>
      <w:r w:rsidRPr="00605E3E">
        <w:t>амках поставок товаров, выполнения работ, оказания услуг по государственным и муниципальным контрактам (строительство, жилищно-коммунальное хозяйство, здравоохранение, образование, содержание, ремонт и эксплуатация объектов дорожной инфраструктуры);</w:t>
      </w:r>
    </w:p>
    <w:p w:rsidR="00EE15D2" w:rsidRPr="00605E3E" w:rsidRDefault="00EE15D2">
      <w:pPr>
        <w:pStyle w:val="ConsPlusNormal"/>
        <w:spacing w:before="240"/>
        <w:ind w:firstLine="540"/>
        <w:jc w:val="both"/>
      </w:pPr>
      <w:r w:rsidRPr="00605E3E">
        <w:t>злоупотребление должностными полномочиями, взяточничество должностными лицами федеральных органов государственной власти и органов государственной власти Архангельской области, органов местного самоуправления, незаконное расходование бюджетных сре</w:t>
      </w:r>
      <w:proofErr w:type="gramStart"/>
      <w:r w:rsidRPr="00605E3E">
        <w:t>дств в л</w:t>
      </w:r>
      <w:proofErr w:type="gramEnd"/>
      <w:r w:rsidRPr="00605E3E">
        <w:t>ичных целях;</w:t>
      </w:r>
    </w:p>
    <w:p w:rsidR="00EE15D2" w:rsidRPr="00605E3E" w:rsidRDefault="00EE15D2">
      <w:pPr>
        <w:pStyle w:val="ConsPlusNormal"/>
        <w:spacing w:before="240"/>
        <w:ind w:firstLine="540"/>
        <w:jc w:val="both"/>
      </w:pPr>
      <w:r w:rsidRPr="00605E3E">
        <w:t>мошенничество, присвоение и растрата бюджетных средств с использованием служебного положения в муниципальных унитарных предприятиях и в муниципальных учреждениях муниципальных образований Архангельской области.</w:t>
      </w:r>
    </w:p>
    <w:p w:rsidR="00EE15D2" w:rsidRPr="00605E3E" w:rsidRDefault="00EE15D2">
      <w:pPr>
        <w:pStyle w:val="ConsPlusNormal"/>
        <w:spacing w:before="240"/>
        <w:ind w:firstLine="540"/>
        <w:jc w:val="both"/>
      </w:pPr>
      <w:r w:rsidRPr="00605E3E">
        <w:t>В государственной программе учтены основные положения:</w:t>
      </w:r>
    </w:p>
    <w:p w:rsidR="00EE15D2" w:rsidRPr="00605E3E" w:rsidRDefault="00EE15D2">
      <w:pPr>
        <w:pStyle w:val="ConsPlusNormal"/>
        <w:spacing w:before="240"/>
        <w:ind w:firstLine="540"/>
        <w:jc w:val="both"/>
      </w:pPr>
      <w:r w:rsidRPr="00605E3E">
        <w:t>Концепции противодействия терроризму в Российской Федерации, утвержденной Президентом Российской Федерации 5 октября 2009 года;</w:t>
      </w:r>
    </w:p>
    <w:p w:rsidR="00EE15D2" w:rsidRPr="00605E3E" w:rsidRDefault="00EE15D2">
      <w:pPr>
        <w:pStyle w:val="ConsPlusNormal"/>
        <w:spacing w:before="240"/>
        <w:ind w:firstLine="540"/>
        <w:jc w:val="both"/>
      </w:pPr>
      <w:r w:rsidRPr="00605E3E">
        <w:t>Национальной стратегии противодействия коррупции, утвержденной Указом Президента Российской Федерации от 13 апреля 2010 года N 460;</w:t>
      </w:r>
    </w:p>
    <w:p w:rsidR="00EE15D2" w:rsidRPr="00605E3E" w:rsidRDefault="00EE15D2">
      <w:pPr>
        <w:pStyle w:val="ConsPlusNormal"/>
        <w:spacing w:before="240"/>
        <w:ind w:firstLine="540"/>
        <w:jc w:val="both"/>
      </w:pPr>
      <w:r w:rsidRPr="00605E3E">
        <w:t xml:space="preserve">Стратегии государственной </w:t>
      </w:r>
      <w:proofErr w:type="spellStart"/>
      <w:r w:rsidRPr="00605E3E">
        <w:t>антинаркотической</w:t>
      </w:r>
      <w:proofErr w:type="spellEnd"/>
      <w:r w:rsidRPr="00605E3E">
        <w:t xml:space="preserve"> политики Российской Федерации на период до 2030 года, утвержденной Указом Президента Российской Федерации от 23 ноября 2020 года N 733;</w:t>
      </w:r>
    </w:p>
    <w:p w:rsidR="00EE15D2" w:rsidRPr="00605E3E" w:rsidRDefault="00EE15D2">
      <w:pPr>
        <w:pStyle w:val="ConsPlusNormal"/>
        <w:spacing w:before="240"/>
        <w:ind w:firstLine="540"/>
        <w:jc w:val="both"/>
      </w:pPr>
      <w:r w:rsidRPr="00605E3E">
        <w:t>Стратегии национальной безопасности Российской Федерации, утвержденной Указом Президента Российской Федерации от 2 июля 2021 года N 400.</w:t>
      </w:r>
    </w:p>
    <w:p w:rsidR="00EE15D2" w:rsidRDefault="00EE15D2">
      <w:pPr>
        <w:pStyle w:val="ConsPlusNormal"/>
        <w:spacing w:before="240"/>
        <w:ind w:firstLine="540"/>
        <w:jc w:val="both"/>
      </w:pPr>
      <w:r w:rsidRPr="00605E3E">
        <w:lastRenderedPageBreak/>
        <w:t>Реализация мероприятий государственной программы окажет положительное влияние на сокращение преступности, позволит более эффективно обеспечить общественный порядок и безопасность на территории Архангельской области и тем</w:t>
      </w:r>
      <w:r>
        <w:t xml:space="preserve"> самым обеспечит достижение следующих стратегических приоритетов государственной программы:</w:t>
      </w:r>
    </w:p>
    <w:p w:rsidR="00EE15D2" w:rsidRDefault="00EE15D2">
      <w:pPr>
        <w:pStyle w:val="ConsPlusNormal"/>
        <w:spacing w:before="240"/>
        <w:ind w:firstLine="540"/>
        <w:jc w:val="both"/>
      </w:pPr>
      <w:r>
        <w:t xml:space="preserve">1) обеспечение национальной безопасности Российской Федерации в сфере реализации </w:t>
      </w:r>
      <w:proofErr w:type="spellStart"/>
      <w:r>
        <w:t>антинаркотической</w:t>
      </w:r>
      <w:proofErr w:type="spellEnd"/>
      <w:r>
        <w:t xml:space="preserve"> политики Российской Федерации;</w:t>
      </w:r>
    </w:p>
    <w:p w:rsidR="00EE15D2" w:rsidRDefault="00EE15D2">
      <w:pPr>
        <w:pStyle w:val="ConsPlusNormal"/>
        <w:spacing w:before="240"/>
        <w:ind w:firstLine="540"/>
        <w:jc w:val="both"/>
      </w:pPr>
      <w:r>
        <w:t>2) обеспечение государственной и общественной безопасности Российской Федерации;</w:t>
      </w:r>
    </w:p>
    <w:p w:rsidR="00EE15D2" w:rsidRDefault="00EE15D2">
      <w:pPr>
        <w:pStyle w:val="ConsPlusNormal"/>
        <w:spacing w:before="240"/>
        <w:ind w:firstLine="540"/>
        <w:jc w:val="both"/>
      </w:pPr>
      <w:r>
        <w:t>3) реализация государственной политики Российской Федерации в сфере противодействия экстремизму в Российской Федерации;</w:t>
      </w:r>
    </w:p>
    <w:p w:rsidR="00EE15D2" w:rsidRDefault="00EE15D2">
      <w:pPr>
        <w:pStyle w:val="ConsPlusNormal"/>
        <w:spacing w:before="240"/>
        <w:ind w:firstLine="540"/>
        <w:jc w:val="both"/>
      </w:pPr>
      <w:r>
        <w:t>4) реализация государственной политики Российской Федерации в области противодействия терроризму в Российской Федерации;</w:t>
      </w:r>
    </w:p>
    <w:p w:rsidR="00EE15D2" w:rsidRDefault="00EE15D2">
      <w:pPr>
        <w:pStyle w:val="ConsPlusNormal"/>
        <w:spacing w:before="240"/>
        <w:ind w:firstLine="540"/>
        <w:jc w:val="both"/>
      </w:pPr>
      <w:r>
        <w:t>5) искоренение причин и условий, порождающих коррупцию в Российском обществе.</w:t>
      </w:r>
    </w:p>
    <w:p w:rsidR="00EE15D2" w:rsidRDefault="00EE15D2">
      <w:pPr>
        <w:pStyle w:val="ConsPlusNormal"/>
        <w:ind w:firstLine="540"/>
        <w:jc w:val="both"/>
      </w:pPr>
    </w:p>
    <w:p w:rsidR="00EE15D2" w:rsidRDefault="00EE15D2">
      <w:pPr>
        <w:pStyle w:val="ConsPlusNormal"/>
        <w:ind w:firstLine="540"/>
        <w:jc w:val="both"/>
      </w:pPr>
    </w:p>
    <w:p w:rsidR="00EE15D2" w:rsidRDefault="00EE15D2">
      <w:pPr>
        <w:pStyle w:val="ConsPlusNormal"/>
        <w:ind w:firstLine="540"/>
        <w:jc w:val="both"/>
      </w:pPr>
    </w:p>
    <w:p w:rsidR="00EE15D2" w:rsidRDefault="00EE15D2">
      <w:pPr>
        <w:pStyle w:val="ConsPlusNormal"/>
        <w:jc w:val="right"/>
        <w:outlineLvl w:val="0"/>
      </w:pPr>
      <w:r>
        <w:t>Утвержден</w:t>
      </w:r>
    </w:p>
    <w:p w:rsidR="00EE15D2" w:rsidRDefault="00EE15D2">
      <w:pPr>
        <w:pStyle w:val="ConsPlusNormal"/>
        <w:jc w:val="right"/>
      </w:pPr>
      <w:r>
        <w:t>постановлением Правительства</w:t>
      </w:r>
    </w:p>
    <w:p w:rsidR="00EE15D2" w:rsidRDefault="00EE15D2">
      <w:pPr>
        <w:pStyle w:val="ConsPlusNormal"/>
        <w:jc w:val="right"/>
      </w:pPr>
      <w:r>
        <w:t>Архангельской области</w:t>
      </w:r>
    </w:p>
    <w:p w:rsidR="00EE15D2" w:rsidRDefault="00EE15D2">
      <w:pPr>
        <w:pStyle w:val="ConsPlusNormal"/>
        <w:jc w:val="right"/>
      </w:pPr>
      <w:r>
        <w:t>от 11.10.2013 N 478-пп</w:t>
      </w:r>
    </w:p>
    <w:p w:rsidR="00540FF4" w:rsidRDefault="00540FF4" w:rsidP="00540FF4">
      <w:pPr>
        <w:pStyle w:val="ConsPlusNormal"/>
        <w:jc w:val="right"/>
      </w:pPr>
      <w:r>
        <w:t>(в ред. от 23.10.2024 № 875-пп)</w:t>
      </w:r>
    </w:p>
    <w:p w:rsidR="00EE15D2" w:rsidRDefault="00EE15D2">
      <w:pPr>
        <w:pStyle w:val="ConsPlusNormal"/>
        <w:ind w:firstLine="540"/>
        <w:jc w:val="both"/>
      </w:pPr>
    </w:p>
    <w:p w:rsidR="00EE15D2" w:rsidRDefault="00EE15D2">
      <w:pPr>
        <w:pStyle w:val="ConsPlusTitle"/>
        <w:jc w:val="center"/>
      </w:pPr>
      <w:bookmarkStart w:id="1" w:name="Par189"/>
      <w:bookmarkEnd w:id="1"/>
      <w:r>
        <w:t>ПАСПОРТ</w:t>
      </w:r>
    </w:p>
    <w:p w:rsidR="00EE15D2" w:rsidRDefault="00EE15D2">
      <w:pPr>
        <w:pStyle w:val="ConsPlusTitle"/>
        <w:jc w:val="center"/>
      </w:pPr>
      <w:r>
        <w:t>ГОСУДАРСТВЕННОЙ ПРОГРАММЫ АРХАНГЕЛЬСКОЙ ОБЛАСТИ</w:t>
      </w:r>
    </w:p>
    <w:p w:rsidR="00EE15D2" w:rsidRDefault="00EE15D2">
      <w:pPr>
        <w:pStyle w:val="ConsPlusTitle"/>
        <w:jc w:val="center"/>
      </w:pPr>
      <w:r>
        <w:t>"ОБЕСПЕЧЕНИЕ ОБЩЕСТВЕННОГО ПОРЯДКА, ПРОФИЛАКТИКА</w:t>
      </w:r>
    </w:p>
    <w:p w:rsidR="00EE15D2" w:rsidRDefault="00EE15D2">
      <w:pPr>
        <w:pStyle w:val="ConsPlusTitle"/>
        <w:jc w:val="center"/>
      </w:pPr>
      <w:r>
        <w:t>ПРЕСТУПНОСТИ, КОРРУПЦИИ, ТЕРРОРИЗМА, ЭКСТРЕМИЗМА</w:t>
      </w:r>
    </w:p>
    <w:p w:rsidR="00EE15D2" w:rsidRDefault="00EE15D2">
      <w:pPr>
        <w:pStyle w:val="ConsPlusTitle"/>
        <w:jc w:val="center"/>
      </w:pPr>
      <w:r>
        <w:t>И НЕЗАКОННОГО ПОТРЕБЛЕНИЯ НАРКОТИЧЕСКИХ СРЕДСТВ</w:t>
      </w:r>
    </w:p>
    <w:p w:rsidR="00EE15D2" w:rsidRDefault="00EE15D2">
      <w:pPr>
        <w:pStyle w:val="ConsPlusTitle"/>
        <w:jc w:val="center"/>
      </w:pPr>
      <w:r>
        <w:t>И ПСИХОТРОПНЫХ ВЕЩЕСТВ В АРХАНГЕЛЬСКОЙ ОБЛАСТИ"</w:t>
      </w:r>
    </w:p>
    <w:p w:rsidR="00EE15D2" w:rsidRDefault="00EE15D2">
      <w:pPr>
        <w:pStyle w:val="ConsPlusNormal"/>
      </w:pPr>
    </w:p>
    <w:p w:rsidR="00EE15D2" w:rsidRDefault="00EE15D2">
      <w:pPr>
        <w:pStyle w:val="ConsPlusTitle"/>
        <w:jc w:val="center"/>
        <w:outlineLvl w:val="1"/>
      </w:pPr>
      <w:r>
        <w:t>1. Основные положения</w:t>
      </w:r>
    </w:p>
    <w:p w:rsidR="00EE15D2" w:rsidRDefault="00EE15D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449"/>
        <w:gridCol w:w="4819"/>
      </w:tblGrid>
      <w:tr w:rsidR="00EE15D2" w:rsidTr="009C4DC6">
        <w:trPr>
          <w:trHeight w:val="1570"/>
        </w:trPr>
        <w:tc>
          <w:tcPr>
            <w:tcW w:w="544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t>Куратор государственной программы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(далее - государственная программа)</w:t>
            </w:r>
          </w:p>
        </w:tc>
        <w:tc>
          <w:tcPr>
            <w:tcW w:w="481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t>Первый заместитель Губернатора Архангельской области - руководитель администрации Губернатора Архангельской области и Правительства Архангельской области</w:t>
            </w:r>
          </w:p>
        </w:tc>
      </w:tr>
      <w:tr w:rsidR="00EE15D2" w:rsidTr="009C4DC6">
        <w:trPr>
          <w:trHeight w:val="1270"/>
        </w:trPr>
        <w:tc>
          <w:tcPr>
            <w:tcW w:w="544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t>Ответственный исполнитель государственной программы</w:t>
            </w:r>
          </w:p>
        </w:tc>
        <w:tc>
          <w:tcPr>
            <w:tcW w:w="481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t>Администрация Губернатора Архангельской области и Правительства Архангельской области (далее - администрация Губернатора и Правительства)</w:t>
            </w:r>
          </w:p>
        </w:tc>
      </w:tr>
      <w:tr w:rsidR="00EE15D2" w:rsidTr="009C4DC6">
        <w:tc>
          <w:tcPr>
            <w:tcW w:w="544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t>Период реализации государственной программы</w:t>
            </w:r>
          </w:p>
        </w:tc>
        <w:tc>
          <w:tcPr>
            <w:tcW w:w="4819" w:type="dxa"/>
            <w:tcBorders>
              <w:top w:val="single" w:sz="4" w:space="0" w:color="auto"/>
              <w:left w:val="single" w:sz="4" w:space="0" w:color="auto"/>
              <w:bottom w:val="single" w:sz="4" w:space="0" w:color="auto"/>
              <w:right w:val="single" w:sz="4" w:space="0" w:color="auto"/>
            </w:tcBorders>
          </w:tcPr>
          <w:p w:rsidR="00EE15D2" w:rsidRDefault="004D3656" w:rsidP="009C4DC6">
            <w:pPr>
              <w:pStyle w:val="ConsPlusNormal"/>
            </w:pPr>
            <w:r w:rsidRPr="00974D8A">
              <w:rPr>
                <w:color w:val="000000"/>
                <w:szCs w:val="28"/>
              </w:rPr>
              <w:t>202</w:t>
            </w:r>
            <w:r>
              <w:rPr>
                <w:color w:val="000000"/>
                <w:szCs w:val="28"/>
              </w:rPr>
              <w:t>5</w:t>
            </w:r>
            <w:r w:rsidRPr="00974D8A">
              <w:rPr>
                <w:color w:val="000000"/>
                <w:szCs w:val="28"/>
              </w:rPr>
              <w:t xml:space="preserve"> – 202</w:t>
            </w:r>
            <w:r>
              <w:rPr>
                <w:color w:val="000000"/>
                <w:szCs w:val="28"/>
              </w:rPr>
              <w:t>7</w:t>
            </w:r>
            <w:r w:rsidRPr="00974D8A">
              <w:rPr>
                <w:color w:val="000000"/>
                <w:szCs w:val="28"/>
              </w:rPr>
              <w:t xml:space="preserve"> годы</w:t>
            </w:r>
          </w:p>
        </w:tc>
      </w:tr>
      <w:tr w:rsidR="00EE15D2" w:rsidTr="009C4DC6">
        <w:tc>
          <w:tcPr>
            <w:tcW w:w="544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t>Цели государственной программы</w:t>
            </w:r>
          </w:p>
        </w:tc>
        <w:tc>
          <w:tcPr>
            <w:tcW w:w="481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t>Обеспечение правопорядка и повышение уровня безопасности граждан на территории Архангельской области</w:t>
            </w:r>
          </w:p>
        </w:tc>
      </w:tr>
      <w:tr w:rsidR="00EE15D2" w:rsidTr="009C4DC6">
        <w:tc>
          <w:tcPr>
            <w:tcW w:w="5449" w:type="dxa"/>
            <w:tcBorders>
              <w:top w:val="single" w:sz="4" w:space="0" w:color="auto"/>
              <w:left w:val="single" w:sz="4" w:space="0" w:color="auto"/>
              <w:right w:val="single" w:sz="4" w:space="0" w:color="auto"/>
            </w:tcBorders>
          </w:tcPr>
          <w:p w:rsidR="00EE15D2" w:rsidRDefault="00EE15D2" w:rsidP="009C4DC6">
            <w:pPr>
              <w:pStyle w:val="ConsPlusNormal"/>
            </w:pPr>
            <w:r>
              <w:lastRenderedPageBreak/>
              <w:t>Объемы и источники финансового обеспечения государственной программы</w:t>
            </w:r>
          </w:p>
        </w:tc>
        <w:tc>
          <w:tcPr>
            <w:tcW w:w="4819" w:type="dxa"/>
            <w:tcBorders>
              <w:top w:val="single" w:sz="4" w:space="0" w:color="auto"/>
              <w:left w:val="single" w:sz="4" w:space="0" w:color="auto"/>
              <w:right w:val="single" w:sz="4" w:space="0" w:color="auto"/>
            </w:tcBorders>
          </w:tcPr>
          <w:p w:rsidR="00EE15D2" w:rsidRDefault="004D3656" w:rsidP="009C4DC6">
            <w:pPr>
              <w:pStyle w:val="ConsPlusNormal"/>
            </w:pPr>
            <w:r w:rsidRPr="00974D8A">
              <w:rPr>
                <w:color w:val="000000"/>
                <w:szCs w:val="28"/>
              </w:rPr>
              <w:t xml:space="preserve">Общий объем финансового обеспечения государственной программы составляет </w:t>
            </w:r>
            <w:r>
              <w:rPr>
                <w:color w:val="000000"/>
                <w:szCs w:val="28"/>
              </w:rPr>
              <w:br/>
            </w:r>
            <w:r w:rsidRPr="00525D8E">
              <w:rPr>
                <w:bCs/>
                <w:color w:val="000000"/>
              </w:rPr>
              <w:t>153 980,4</w:t>
            </w:r>
            <w:r w:rsidRPr="00974D8A">
              <w:rPr>
                <w:color w:val="000000"/>
                <w:szCs w:val="28"/>
              </w:rPr>
              <w:t xml:space="preserve">тыс. рублей; </w:t>
            </w:r>
            <w:r w:rsidRPr="00974D8A">
              <w:rPr>
                <w:color w:val="000000"/>
                <w:szCs w:val="28"/>
              </w:rPr>
              <w:br/>
              <w:t>объем финансового обеспечения по годам и источникам финансирования представлен в разделе № 4 паспорта государственной программы</w:t>
            </w:r>
          </w:p>
        </w:tc>
      </w:tr>
      <w:tr w:rsidR="00EE15D2" w:rsidTr="009C4DC6">
        <w:tc>
          <w:tcPr>
            <w:tcW w:w="544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t>Связь с национальными целями развития Российской Федерации/государственной программой Российской Федерации</w:t>
            </w:r>
          </w:p>
        </w:tc>
        <w:tc>
          <w:tcPr>
            <w:tcW w:w="4819" w:type="dxa"/>
            <w:tcBorders>
              <w:top w:val="single" w:sz="4" w:space="0" w:color="auto"/>
              <w:left w:val="single" w:sz="4" w:space="0" w:color="auto"/>
              <w:bottom w:val="single" w:sz="4" w:space="0" w:color="auto"/>
              <w:right w:val="single" w:sz="4" w:space="0" w:color="auto"/>
            </w:tcBorders>
          </w:tcPr>
          <w:p w:rsidR="00EE15D2" w:rsidRDefault="00EE15D2" w:rsidP="009C4DC6">
            <w:pPr>
              <w:pStyle w:val="ConsPlusNormal"/>
            </w:pPr>
            <w:r w:rsidRPr="009C4DC6">
              <w:t xml:space="preserve">Государственная </w:t>
            </w:r>
            <w:hyperlink r:id="rId8" w:history="1">
              <w:r w:rsidRPr="009C4DC6">
                <w:t>программа</w:t>
              </w:r>
            </w:hyperlink>
            <w:r w:rsidRPr="009C4DC6">
              <w:t xml:space="preserve"> Российской</w:t>
            </w:r>
            <w:r>
              <w:t xml:space="preserve"> Федерации "Обеспечение общественного порядка и противодействие преступности", утвержденная постановлением Правительства Российской Федерации от 15 апреля 2014 года N 345</w:t>
            </w:r>
          </w:p>
        </w:tc>
      </w:tr>
    </w:tbl>
    <w:p w:rsidR="009C4DC6" w:rsidRDefault="009C4DC6" w:rsidP="009C4DC6">
      <w:pPr>
        <w:pStyle w:val="ConsPlusNormal"/>
        <w:ind w:firstLine="540"/>
        <w:jc w:val="both"/>
      </w:pPr>
    </w:p>
    <w:p w:rsidR="009C4DC6" w:rsidRDefault="009C4DC6">
      <w:pPr>
        <w:pStyle w:val="ConsPlusNormal"/>
        <w:ind w:firstLine="540"/>
        <w:jc w:val="both"/>
        <w:sectPr w:rsidR="009C4DC6" w:rsidSect="00605E3E">
          <w:footerReference w:type="default" r:id="rId9"/>
          <w:pgSz w:w="11906" w:h="16838"/>
          <w:pgMar w:top="962" w:right="566" w:bottom="851" w:left="1133" w:header="0" w:footer="0" w:gutter="0"/>
          <w:cols w:space="720"/>
          <w:noEndnote/>
        </w:sectPr>
      </w:pPr>
    </w:p>
    <w:p w:rsidR="00EE15D2" w:rsidRDefault="00EE15D2">
      <w:pPr>
        <w:pStyle w:val="ConsPlusNormal"/>
        <w:ind w:firstLine="540"/>
        <w:jc w:val="both"/>
      </w:pPr>
    </w:p>
    <w:p w:rsidR="00EE15D2" w:rsidRDefault="00EE15D2">
      <w:pPr>
        <w:pStyle w:val="ConsPlusTitle"/>
        <w:jc w:val="center"/>
        <w:outlineLvl w:val="1"/>
      </w:pPr>
      <w:r>
        <w:t>2. Показатели государственной программы</w:t>
      </w:r>
    </w:p>
    <w:p w:rsidR="009C4DC6" w:rsidRDefault="009C4DC6">
      <w:pPr>
        <w:pStyle w:val="ConsPlusTitle"/>
        <w:jc w:val="center"/>
        <w:outlineLvl w:val="1"/>
      </w:pPr>
    </w:p>
    <w:tbl>
      <w:tblPr>
        <w:tblW w:w="14684" w:type="dxa"/>
        <w:tblLayout w:type="fixed"/>
        <w:tblCellMar>
          <w:top w:w="102" w:type="dxa"/>
          <w:left w:w="62" w:type="dxa"/>
          <w:bottom w:w="102" w:type="dxa"/>
          <w:right w:w="62" w:type="dxa"/>
        </w:tblCellMar>
        <w:tblLook w:val="0000"/>
      </w:tblPr>
      <w:tblGrid>
        <w:gridCol w:w="481"/>
        <w:gridCol w:w="2977"/>
        <w:gridCol w:w="992"/>
        <w:gridCol w:w="846"/>
        <w:gridCol w:w="711"/>
        <w:gridCol w:w="718"/>
        <w:gridCol w:w="850"/>
        <w:gridCol w:w="851"/>
        <w:gridCol w:w="850"/>
        <w:gridCol w:w="2406"/>
        <w:gridCol w:w="1134"/>
        <w:gridCol w:w="990"/>
        <w:gridCol w:w="878"/>
      </w:tblGrid>
      <w:tr w:rsidR="00EE15D2" w:rsidTr="004D3656">
        <w:tc>
          <w:tcPr>
            <w:tcW w:w="481"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977"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Признак возрастания/убывания</w:t>
            </w:r>
          </w:p>
        </w:tc>
        <w:tc>
          <w:tcPr>
            <w:tcW w:w="846"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Единица измерения (по ОКЕИ)</w:t>
            </w:r>
          </w:p>
        </w:tc>
        <w:tc>
          <w:tcPr>
            <w:tcW w:w="1429" w:type="dxa"/>
            <w:gridSpan w:val="2"/>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Базовое значение</w:t>
            </w:r>
          </w:p>
        </w:tc>
        <w:tc>
          <w:tcPr>
            <w:tcW w:w="2551" w:type="dxa"/>
            <w:gridSpan w:val="3"/>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Значение показателя по годам</w:t>
            </w:r>
          </w:p>
        </w:tc>
        <w:tc>
          <w:tcPr>
            <w:tcW w:w="2406"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Документ</w:t>
            </w:r>
          </w:p>
        </w:tc>
        <w:tc>
          <w:tcPr>
            <w:tcW w:w="1134"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proofErr w:type="gramStart"/>
            <w:r>
              <w:t>Ответственный</w:t>
            </w:r>
            <w:proofErr w:type="gramEnd"/>
            <w:r>
              <w:t xml:space="preserve"> за достижение показателя</w:t>
            </w:r>
          </w:p>
        </w:tc>
        <w:tc>
          <w:tcPr>
            <w:tcW w:w="990"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Связь с показателями национальных целей</w:t>
            </w:r>
          </w:p>
        </w:tc>
        <w:tc>
          <w:tcPr>
            <w:tcW w:w="878"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Информационная система</w:t>
            </w:r>
          </w:p>
        </w:tc>
      </w:tr>
      <w:tr w:rsidR="004D3656" w:rsidTr="004D3656">
        <w:tc>
          <w:tcPr>
            <w:tcW w:w="481"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c>
          <w:tcPr>
            <w:tcW w:w="2977"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c>
          <w:tcPr>
            <w:tcW w:w="846"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c>
          <w:tcPr>
            <w:tcW w:w="711"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3"/>
              <w:rPr>
                <w:rFonts w:ascii="Times New Roman" w:hAnsi="Times New Roman"/>
                <w:bCs/>
                <w:color w:val="000000"/>
                <w:sz w:val="24"/>
                <w:szCs w:val="24"/>
              </w:rPr>
            </w:pPr>
            <w:r w:rsidRPr="004D3656">
              <w:rPr>
                <w:rFonts w:ascii="Times New Roman" w:hAnsi="Times New Roman"/>
                <w:bCs/>
                <w:color w:val="000000"/>
                <w:sz w:val="24"/>
                <w:szCs w:val="24"/>
              </w:rPr>
              <w:t>зна</w:t>
            </w:r>
            <w:r w:rsidRPr="004D3656">
              <w:rPr>
                <w:rFonts w:ascii="Times New Roman" w:hAnsi="Times New Roman"/>
                <w:bCs/>
                <w:color w:val="000000"/>
                <w:sz w:val="24"/>
                <w:szCs w:val="24"/>
              </w:rPr>
              <w:softHyphen/>
              <w:t>чение</w:t>
            </w:r>
          </w:p>
        </w:tc>
        <w:tc>
          <w:tcPr>
            <w:tcW w:w="718"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3"/>
              <w:rPr>
                <w:rFonts w:ascii="Times New Roman" w:hAnsi="Times New Roman"/>
                <w:bCs/>
                <w:color w:val="000000"/>
                <w:sz w:val="24"/>
                <w:szCs w:val="24"/>
              </w:rPr>
            </w:pPr>
            <w:r w:rsidRPr="004D3656">
              <w:rPr>
                <w:rFonts w:ascii="Times New Roman" w:hAnsi="Times New Roman"/>
                <w:bCs/>
                <w:color w:val="000000"/>
                <w:sz w:val="24"/>
                <w:szCs w:val="24"/>
              </w:rPr>
              <w:t>год</w:t>
            </w:r>
          </w:p>
        </w:tc>
        <w:tc>
          <w:tcPr>
            <w:tcW w:w="850"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3"/>
              <w:rPr>
                <w:rFonts w:ascii="Times New Roman" w:hAnsi="Times New Roman"/>
                <w:bCs/>
                <w:color w:val="000000"/>
                <w:spacing w:val="-4"/>
                <w:sz w:val="24"/>
                <w:szCs w:val="24"/>
              </w:rPr>
            </w:pPr>
            <w:r w:rsidRPr="004D3656">
              <w:rPr>
                <w:rFonts w:ascii="Times New Roman" w:hAnsi="Times New Roman"/>
                <w:bCs/>
                <w:color w:val="000000"/>
                <w:spacing w:val="-4"/>
                <w:sz w:val="24"/>
                <w:szCs w:val="24"/>
              </w:rPr>
              <w:t>2025 г.</w:t>
            </w:r>
          </w:p>
        </w:tc>
        <w:tc>
          <w:tcPr>
            <w:tcW w:w="851"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3"/>
              <w:rPr>
                <w:rFonts w:ascii="Times New Roman" w:hAnsi="Times New Roman"/>
                <w:bCs/>
                <w:color w:val="000000"/>
                <w:spacing w:val="-4"/>
                <w:sz w:val="24"/>
                <w:szCs w:val="24"/>
              </w:rPr>
            </w:pPr>
            <w:r w:rsidRPr="004D3656">
              <w:rPr>
                <w:rFonts w:ascii="Times New Roman" w:hAnsi="Times New Roman"/>
                <w:bCs/>
                <w:color w:val="000000"/>
                <w:spacing w:val="-4"/>
                <w:sz w:val="24"/>
                <w:szCs w:val="24"/>
              </w:rPr>
              <w:t>2026 г.</w:t>
            </w:r>
          </w:p>
        </w:tc>
        <w:tc>
          <w:tcPr>
            <w:tcW w:w="850"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3"/>
              <w:rPr>
                <w:rFonts w:ascii="Times New Roman" w:hAnsi="Times New Roman"/>
                <w:bCs/>
                <w:color w:val="000000"/>
                <w:spacing w:val="-4"/>
                <w:sz w:val="24"/>
                <w:szCs w:val="24"/>
              </w:rPr>
            </w:pPr>
            <w:r w:rsidRPr="004D3656">
              <w:rPr>
                <w:rFonts w:ascii="Times New Roman" w:hAnsi="Times New Roman"/>
                <w:bCs/>
                <w:color w:val="000000"/>
                <w:spacing w:val="-4"/>
                <w:sz w:val="24"/>
                <w:szCs w:val="24"/>
              </w:rPr>
              <w:t>2027 г.</w:t>
            </w:r>
          </w:p>
        </w:tc>
        <w:tc>
          <w:tcPr>
            <w:tcW w:w="2406"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c>
          <w:tcPr>
            <w:tcW w:w="990"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c>
          <w:tcPr>
            <w:tcW w:w="878"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r>
      <w:tr w:rsidR="004D3656" w:rsidTr="004D3656">
        <w:tc>
          <w:tcPr>
            <w:tcW w:w="481"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1</w:t>
            </w:r>
          </w:p>
        </w:tc>
        <w:tc>
          <w:tcPr>
            <w:tcW w:w="2977"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Вовлеченность населения в незаконный оборот наркотиков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w:t>
            </w:r>
          </w:p>
        </w:tc>
        <w:tc>
          <w:tcPr>
            <w:tcW w:w="992"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Убывающий</w:t>
            </w:r>
          </w:p>
        </w:tc>
        <w:tc>
          <w:tcPr>
            <w:tcW w:w="846"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Единиц</w:t>
            </w:r>
          </w:p>
        </w:tc>
        <w:tc>
          <w:tcPr>
            <w:tcW w:w="711"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jc w:val="center"/>
              <w:rPr>
                <w:rFonts w:ascii="Times New Roman" w:hAnsi="Times New Roman"/>
                <w:color w:val="000000"/>
                <w:sz w:val="24"/>
                <w:szCs w:val="24"/>
              </w:rPr>
            </w:pPr>
            <w:r w:rsidRPr="004D3656">
              <w:rPr>
                <w:rFonts w:ascii="Times New Roman" w:hAnsi="Times New Roman"/>
                <w:color w:val="000000"/>
                <w:sz w:val="24"/>
                <w:szCs w:val="24"/>
              </w:rPr>
              <w:t>106,9</w:t>
            </w:r>
          </w:p>
        </w:tc>
        <w:tc>
          <w:tcPr>
            <w:tcW w:w="718"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3"/>
              <w:rPr>
                <w:rFonts w:ascii="Times New Roman" w:hAnsi="Times New Roman"/>
                <w:bCs/>
                <w:color w:val="000000"/>
                <w:sz w:val="24"/>
                <w:szCs w:val="24"/>
              </w:rPr>
            </w:pPr>
            <w:r w:rsidRPr="004D3656">
              <w:rPr>
                <w:rFonts w:ascii="Times New Roman" w:hAnsi="Times New Roman"/>
                <w:bCs/>
                <w:color w:val="000000"/>
                <w:sz w:val="24"/>
                <w:szCs w:val="24"/>
              </w:rPr>
              <w:t>2022</w:t>
            </w:r>
          </w:p>
        </w:tc>
        <w:tc>
          <w:tcPr>
            <w:tcW w:w="850"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autoSpaceDN w:val="0"/>
              <w:adjustRightInd w:val="0"/>
              <w:jc w:val="center"/>
              <w:rPr>
                <w:rFonts w:ascii="Times New Roman" w:hAnsi="Times New Roman"/>
                <w:color w:val="000000"/>
                <w:sz w:val="24"/>
                <w:szCs w:val="24"/>
              </w:rPr>
            </w:pPr>
            <w:r w:rsidRPr="004D3656">
              <w:rPr>
                <w:rFonts w:ascii="Times New Roman" w:hAnsi="Times New Roman"/>
                <w:color w:val="000000"/>
                <w:sz w:val="24"/>
                <w:szCs w:val="24"/>
              </w:rPr>
              <w:t>90</w:t>
            </w:r>
          </w:p>
        </w:tc>
        <w:tc>
          <w:tcPr>
            <w:tcW w:w="851"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autoSpaceDN w:val="0"/>
              <w:adjustRightInd w:val="0"/>
              <w:jc w:val="center"/>
              <w:rPr>
                <w:rFonts w:ascii="Times New Roman" w:hAnsi="Times New Roman"/>
                <w:color w:val="000000"/>
                <w:sz w:val="24"/>
                <w:szCs w:val="24"/>
              </w:rPr>
            </w:pPr>
            <w:r w:rsidRPr="004D3656">
              <w:rPr>
                <w:rFonts w:ascii="Times New Roman" w:hAnsi="Times New Roman"/>
                <w:color w:val="000000"/>
                <w:sz w:val="24"/>
                <w:szCs w:val="24"/>
              </w:rPr>
              <w:t>85</w:t>
            </w:r>
          </w:p>
        </w:tc>
        <w:tc>
          <w:tcPr>
            <w:tcW w:w="850"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jc w:val="center"/>
              <w:rPr>
                <w:rFonts w:ascii="Times New Roman" w:hAnsi="Times New Roman"/>
                <w:color w:val="000000"/>
                <w:sz w:val="24"/>
                <w:szCs w:val="24"/>
              </w:rPr>
            </w:pPr>
            <w:r w:rsidRPr="004D3656">
              <w:rPr>
                <w:rFonts w:ascii="Times New Roman" w:hAnsi="Times New Roman"/>
                <w:color w:val="000000"/>
                <w:sz w:val="24"/>
                <w:szCs w:val="24"/>
              </w:rPr>
              <w:t>84</w:t>
            </w:r>
          </w:p>
        </w:tc>
        <w:tc>
          <w:tcPr>
            <w:tcW w:w="2406" w:type="dxa"/>
            <w:tcBorders>
              <w:top w:val="single" w:sz="4" w:space="0" w:color="auto"/>
              <w:left w:val="single" w:sz="4" w:space="0" w:color="auto"/>
              <w:bottom w:val="single" w:sz="4" w:space="0" w:color="auto"/>
              <w:right w:val="single" w:sz="4" w:space="0" w:color="auto"/>
            </w:tcBorders>
          </w:tcPr>
          <w:p w:rsidR="004D3656" w:rsidRDefault="007B5DE1" w:rsidP="004D3656">
            <w:pPr>
              <w:pStyle w:val="ConsPlusNormal"/>
            </w:pPr>
            <w:hyperlink r:id="rId10" w:history="1">
              <w:r w:rsidR="004D3656">
                <w:rPr>
                  <w:color w:val="0000FF"/>
                </w:rPr>
                <w:t>Указ</w:t>
              </w:r>
            </w:hyperlink>
            <w:r w:rsidR="004D3656">
              <w:t xml:space="preserve"> Президента Российской Федерации от 23 ноября 2020 года N 733 "Об утверждении Стратегии государственной </w:t>
            </w:r>
            <w:proofErr w:type="spellStart"/>
            <w:r w:rsidR="004D3656">
              <w:t>антинаркотической</w:t>
            </w:r>
            <w:proofErr w:type="spellEnd"/>
            <w:r w:rsidR="004D3656">
              <w:t xml:space="preserve"> политики Российской Федерации на период до 2030 года"</w:t>
            </w:r>
          </w:p>
        </w:tc>
        <w:tc>
          <w:tcPr>
            <w:tcW w:w="1134"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Администрация Губернатора и Правительства</w:t>
            </w:r>
          </w:p>
        </w:tc>
        <w:tc>
          <w:tcPr>
            <w:tcW w:w="990"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w:t>
            </w:r>
          </w:p>
        </w:tc>
        <w:tc>
          <w:tcPr>
            <w:tcW w:w="878"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w:t>
            </w:r>
          </w:p>
        </w:tc>
      </w:tr>
      <w:tr w:rsidR="004D3656" w:rsidTr="004D3656">
        <w:tc>
          <w:tcPr>
            <w:tcW w:w="481"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2</w:t>
            </w:r>
          </w:p>
        </w:tc>
        <w:tc>
          <w:tcPr>
            <w:tcW w:w="2977"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Уровень преступности, человек на 100 тыс. населения</w:t>
            </w:r>
          </w:p>
        </w:tc>
        <w:tc>
          <w:tcPr>
            <w:tcW w:w="992"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Убывающий</w:t>
            </w:r>
          </w:p>
        </w:tc>
        <w:tc>
          <w:tcPr>
            <w:tcW w:w="846"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Единиц</w:t>
            </w:r>
          </w:p>
        </w:tc>
        <w:tc>
          <w:tcPr>
            <w:tcW w:w="711"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autoSpaceDN w:val="0"/>
              <w:adjustRightInd w:val="0"/>
              <w:jc w:val="center"/>
              <w:rPr>
                <w:rFonts w:ascii="Times New Roman" w:hAnsi="Times New Roman"/>
                <w:color w:val="000000"/>
                <w:sz w:val="24"/>
                <w:szCs w:val="24"/>
              </w:rPr>
            </w:pPr>
            <w:r w:rsidRPr="004D3656">
              <w:rPr>
                <w:rFonts w:ascii="Times New Roman" w:hAnsi="Times New Roman"/>
                <w:color w:val="000000"/>
                <w:sz w:val="24"/>
                <w:szCs w:val="24"/>
              </w:rPr>
              <w:t>1740</w:t>
            </w:r>
          </w:p>
        </w:tc>
        <w:tc>
          <w:tcPr>
            <w:tcW w:w="718"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3"/>
              <w:rPr>
                <w:rFonts w:ascii="Times New Roman" w:hAnsi="Times New Roman"/>
                <w:bCs/>
                <w:color w:val="000000"/>
                <w:sz w:val="24"/>
                <w:szCs w:val="24"/>
              </w:rPr>
            </w:pPr>
            <w:r w:rsidRPr="004D3656">
              <w:rPr>
                <w:rFonts w:ascii="Times New Roman" w:hAnsi="Times New Roman"/>
                <w:bCs/>
                <w:color w:val="000000"/>
                <w:sz w:val="24"/>
                <w:szCs w:val="24"/>
              </w:rPr>
              <w:t>2022</w:t>
            </w:r>
          </w:p>
        </w:tc>
        <w:tc>
          <w:tcPr>
            <w:tcW w:w="850"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autoSpaceDN w:val="0"/>
              <w:adjustRightInd w:val="0"/>
              <w:jc w:val="center"/>
              <w:rPr>
                <w:rFonts w:ascii="Times New Roman" w:hAnsi="Times New Roman"/>
                <w:color w:val="000000"/>
                <w:sz w:val="24"/>
                <w:szCs w:val="24"/>
              </w:rPr>
            </w:pPr>
            <w:r w:rsidRPr="004D3656">
              <w:rPr>
                <w:rFonts w:ascii="Times New Roman" w:hAnsi="Times New Roman"/>
                <w:color w:val="000000"/>
                <w:sz w:val="24"/>
                <w:szCs w:val="24"/>
              </w:rPr>
              <w:t>1720</w:t>
            </w:r>
          </w:p>
        </w:tc>
        <w:tc>
          <w:tcPr>
            <w:tcW w:w="851"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autoSpaceDN w:val="0"/>
              <w:adjustRightInd w:val="0"/>
              <w:jc w:val="center"/>
              <w:rPr>
                <w:rFonts w:ascii="Times New Roman" w:hAnsi="Times New Roman"/>
                <w:color w:val="000000"/>
                <w:sz w:val="24"/>
                <w:szCs w:val="24"/>
              </w:rPr>
            </w:pPr>
            <w:r w:rsidRPr="004D3656">
              <w:rPr>
                <w:rFonts w:ascii="Times New Roman" w:hAnsi="Times New Roman"/>
                <w:color w:val="000000"/>
                <w:sz w:val="24"/>
                <w:szCs w:val="24"/>
              </w:rPr>
              <w:t>1710</w:t>
            </w:r>
          </w:p>
        </w:tc>
        <w:tc>
          <w:tcPr>
            <w:tcW w:w="850"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jc w:val="center"/>
              <w:rPr>
                <w:rFonts w:ascii="Times New Roman" w:hAnsi="Times New Roman"/>
                <w:color w:val="000000"/>
                <w:sz w:val="24"/>
                <w:szCs w:val="24"/>
              </w:rPr>
            </w:pPr>
            <w:r w:rsidRPr="004D3656">
              <w:rPr>
                <w:rFonts w:ascii="Times New Roman" w:hAnsi="Times New Roman"/>
                <w:color w:val="000000"/>
                <w:sz w:val="24"/>
                <w:szCs w:val="24"/>
              </w:rPr>
              <w:t>1705</w:t>
            </w:r>
          </w:p>
        </w:tc>
        <w:tc>
          <w:tcPr>
            <w:tcW w:w="2406" w:type="dxa"/>
            <w:tcBorders>
              <w:top w:val="single" w:sz="4" w:space="0" w:color="auto"/>
              <w:left w:val="single" w:sz="4" w:space="0" w:color="auto"/>
              <w:bottom w:val="single" w:sz="4" w:space="0" w:color="auto"/>
              <w:right w:val="single" w:sz="4" w:space="0" w:color="auto"/>
            </w:tcBorders>
          </w:tcPr>
          <w:p w:rsidR="004D3656" w:rsidRDefault="007B5DE1" w:rsidP="004D3656">
            <w:pPr>
              <w:pStyle w:val="ConsPlusNormal"/>
            </w:pPr>
            <w:hyperlink r:id="rId11" w:history="1">
              <w:r w:rsidR="004D3656">
                <w:rPr>
                  <w:color w:val="0000FF"/>
                </w:rPr>
                <w:t>Указ</w:t>
              </w:r>
            </w:hyperlink>
            <w:r w:rsidR="004D3656">
              <w:t xml:space="preserve"> Президента Российской Федерации от 2 июля 2021 года N 400 "О Стратегии национальной безопасности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Администрация Губернатора и Правительства</w:t>
            </w:r>
          </w:p>
        </w:tc>
        <w:tc>
          <w:tcPr>
            <w:tcW w:w="990"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w:t>
            </w:r>
          </w:p>
        </w:tc>
        <w:tc>
          <w:tcPr>
            <w:tcW w:w="878"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r>
              <w:t>-</w:t>
            </w:r>
          </w:p>
        </w:tc>
      </w:tr>
    </w:tbl>
    <w:p w:rsidR="00EE15D2" w:rsidRDefault="00EE15D2">
      <w:pPr>
        <w:pStyle w:val="ConsPlusNormal"/>
        <w:sectPr w:rsidR="00EE15D2" w:rsidSect="00540FF4">
          <w:headerReference w:type="default" r:id="rId12"/>
          <w:footerReference w:type="default" r:id="rId13"/>
          <w:pgSz w:w="16838" w:h="11906" w:orient="landscape"/>
          <w:pgMar w:top="1133" w:right="1440" w:bottom="709" w:left="1440" w:header="0" w:footer="0" w:gutter="0"/>
          <w:cols w:space="720"/>
          <w:noEndnote/>
        </w:sectPr>
      </w:pPr>
    </w:p>
    <w:p w:rsidR="00EE15D2" w:rsidRDefault="00EE15D2">
      <w:pPr>
        <w:pStyle w:val="ConsPlusTitle"/>
        <w:jc w:val="center"/>
        <w:outlineLvl w:val="1"/>
      </w:pPr>
      <w:r>
        <w:lastRenderedPageBreak/>
        <w:t>2.1. Порядок расчета и источники информации о значениях</w:t>
      </w:r>
    </w:p>
    <w:p w:rsidR="00EE15D2" w:rsidRDefault="00EE15D2">
      <w:pPr>
        <w:pStyle w:val="ConsPlusTitle"/>
        <w:jc w:val="center"/>
      </w:pPr>
      <w:r>
        <w:t>целевых показателей государственной программы</w:t>
      </w:r>
    </w:p>
    <w:p w:rsidR="00EE15D2" w:rsidRDefault="00EE15D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061"/>
        <w:gridCol w:w="3005"/>
        <w:gridCol w:w="3635"/>
      </w:tblGrid>
      <w:tr w:rsidR="00EE15D2" w:rsidTr="00300A14">
        <w:tc>
          <w:tcPr>
            <w:tcW w:w="3061"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Наименование целевого показателя государственной программы</w:t>
            </w:r>
          </w:p>
        </w:tc>
        <w:tc>
          <w:tcPr>
            <w:tcW w:w="3005"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Порядок расчета</w:t>
            </w:r>
          </w:p>
        </w:tc>
        <w:tc>
          <w:tcPr>
            <w:tcW w:w="3635"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Источник информации</w:t>
            </w:r>
          </w:p>
        </w:tc>
      </w:tr>
      <w:tr w:rsidR="00EE15D2" w:rsidTr="00300A14">
        <w:tc>
          <w:tcPr>
            <w:tcW w:w="3061"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1</w:t>
            </w:r>
          </w:p>
        </w:tc>
        <w:tc>
          <w:tcPr>
            <w:tcW w:w="3005"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2</w:t>
            </w:r>
          </w:p>
        </w:tc>
        <w:tc>
          <w:tcPr>
            <w:tcW w:w="3635" w:type="dxa"/>
            <w:tcBorders>
              <w:top w:val="single" w:sz="4" w:space="0" w:color="auto"/>
              <w:left w:val="single" w:sz="4" w:space="0" w:color="auto"/>
              <w:bottom w:val="single" w:sz="4" w:space="0" w:color="auto"/>
              <w:right w:val="single" w:sz="4" w:space="0" w:color="auto"/>
            </w:tcBorders>
          </w:tcPr>
          <w:p w:rsidR="00EE15D2" w:rsidRDefault="00EE15D2" w:rsidP="00300A14">
            <w:pPr>
              <w:pStyle w:val="ConsPlusNormal"/>
              <w:ind w:right="-345"/>
              <w:jc w:val="center"/>
            </w:pPr>
            <w:r>
              <w:t>3</w:t>
            </w:r>
          </w:p>
        </w:tc>
      </w:tr>
      <w:tr w:rsidR="00EE15D2" w:rsidTr="00300A14">
        <w:tc>
          <w:tcPr>
            <w:tcW w:w="3061" w:type="dxa"/>
            <w:tcBorders>
              <w:top w:val="single" w:sz="4" w:space="0" w:color="auto"/>
            </w:tcBorders>
          </w:tcPr>
          <w:p w:rsidR="00EE15D2" w:rsidRDefault="00EE15D2">
            <w:pPr>
              <w:pStyle w:val="ConsPlusNormal"/>
            </w:pPr>
            <w:r>
              <w:t>1. Вовлеченность населения в незаконный оборот наркотиков (количество случаев привлечения к уголовной и административной ответственности за нарушения законодательства Российской Федерации о наркотических средствах и психотропных веществах на 100 тыс. человек) в отчетном году</w:t>
            </w:r>
          </w:p>
        </w:tc>
        <w:tc>
          <w:tcPr>
            <w:tcW w:w="3005" w:type="dxa"/>
            <w:tcBorders>
              <w:top w:val="single" w:sz="4" w:space="0" w:color="auto"/>
            </w:tcBorders>
          </w:tcPr>
          <w:p w:rsidR="00EE15D2" w:rsidRDefault="00540FF4">
            <w:pPr>
              <w:pStyle w:val="ConsPlusNormal"/>
              <w:jc w:val="center"/>
            </w:pPr>
            <w:r>
              <w:rPr>
                <w:noProof/>
                <w:position w:val="-23"/>
              </w:rPr>
              <w:drawing>
                <wp:inline distT="0" distB="0" distL="0" distR="0">
                  <wp:extent cx="1665605" cy="4438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665605" cy="443865"/>
                          </a:xfrm>
                          <a:prstGeom prst="rect">
                            <a:avLst/>
                          </a:prstGeom>
                          <a:noFill/>
                          <a:ln w="9525">
                            <a:noFill/>
                            <a:miter lim="800000"/>
                            <a:headEnd/>
                            <a:tailEnd/>
                          </a:ln>
                        </pic:spPr>
                      </pic:pic>
                    </a:graphicData>
                  </a:graphic>
                </wp:inline>
              </w:drawing>
            </w:r>
          </w:p>
          <w:p w:rsidR="00EE15D2" w:rsidRDefault="00EE15D2">
            <w:pPr>
              <w:pStyle w:val="ConsPlusNormal"/>
            </w:pPr>
            <w:r>
              <w:t>где:</w:t>
            </w:r>
          </w:p>
          <w:p w:rsidR="00EE15D2" w:rsidRDefault="00EE15D2">
            <w:pPr>
              <w:pStyle w:val="ConsPlusNormal"/>
            </w:pPr>
            <w:proofErr w:type="spellStart"/>
            <w:r>
              <w:t>Vn</w:t>
            </w:r>
            <w:proofErr w:type="spellEnd"/>
            <w:r>
              <w:t xml:space="preserve"> - вовлеченность населения Архангельской области;</w:t>
            </w:r>
          </w:p>
          <w:p w:rsidR="00EE15D2" w:rsidRDefault="00EE15D2">
            <w:pPr>
              <w:pStyle w:val="ConsPlusNormal"/>
            </w:pPr>
            <w:r>
              <w:t xml:space="preserve">P - общее число лиц, совершивших </w:t>
            </w:r>
            <w:proofErr w:type="spellStart"/>
            <w:r>
              <w:t>наркопреступления</w:t>
            </w:r>
            <w:proofErr w:type="spellEnd"/>
            <w:r>
              <w:t xml:space="preserve"> в Архангельской области;</w:t>
            </w:r>
          </w:p>
          <w:p w:rsidR="00EE15D2" w:rsidRDefault="00EE15D2">
            <w:pPr>
              <w:pStyle w:val="ConsPlusNormal"/>
            </w:pPr>
            <w:proofErr w:type="spellStart"/>
            <w:r>
              <w:t>Ap</w:t>
            </w:r>
            <w:proofErr w:type="spellEnd"/>
            <w:r>
              <w:t xml:space="preserve"> - общее число лиц, совершивших административные правонарушения, связанные с незаконным оборотом наркотиков в Архангельской области;</w:t>
            </w:r>
          </w:p>
          <w:p w:rsidR="00EE15D2" w:rsidRDefault="00EE15D2">
            <w:pPr>
              <w:pStyle w:val="ConsPlusNormal"/>
            </w:pPr>
            <w:proofErr w:type="spellStart"/>
            <w:r>
              <w:t>Po</w:t>
            </w:r>
            <w:proofErr w:type="spellEnd"/>
            <w:r>
              <w:t xml:space="preserve"> - среднегодовая численность населения Архангельской области</w:t>
            </w:r>
          </w:p>
        </w:tc>
        <w:tc>
          <w:tcPr>
            <w:tcW w:w="3635" w:type="dxa"/>
            <w:tcBorders>
              <w:top w:val="single" w:sz="4" w:space="0" w:color="auto"/>
            </w:tcBorders>
          </w:tcPr>
          <w:p w:rsidR="00EE15D2" w:rsidRDefault="00EE15D2">
            <w:pPr>
              <w:pStyle w:val="ConsPlusNormal"/>
            </w:pPr>
            <w:r>
              <w:t xml:space="preserve">статистические данные министерства здравоохранения Архангельской </w:t>
            </w:r>
            <w:r w:rsidRPr="00300A14">
              <w:t>области (</w:t>
            </w:r>
            <w:hyperlink r:id="rId15" w:history="1">
              <w:r w:rsidRPr="00300A14">
                <w:t>приказ</w:t>
              </w:r>
            </w:hyperlink>
            <w:r w:rsidRPr="00300A14">
              <w:t xml:space="preserve"> Федеральной службы</w:t>
            </w:r>
            <w:r>
              <w:t xml:space="preserve"> государственной статистики от 16 октября 2013 года N 410 "Об утверждении статистического инструментария для организации Министерством здравоохранения Российской Федерации федерального статистического наблюдения за заболеваемостью населения наркологическими расстройствами");</w:t>
            </w:r>
          </w:p>
          <w:p w:rsidR="00EE15D2" w:rsidRDefault="00EE15D2">
            <w:pPr>
              <w:pStyle w:val="ConsPlusNormal"/>
            </w:pPr>
            <w:r>
              <w:t>статистические данные Управления Федеральной службы государственной статистики по Архангельской области и Ненецкому автономному округу;</w:t>
            </w:r>
          </w:p>
          <w:p w:rsidR="00EE15D2" w:rsidRDefault="00EE15D2">
            <w:pPr>
              <w:pStyle w:val="ConsPlusNormal"/>
            </w:pPr>
            <w:r w:rsidRPr="00300A14">
              <w:t>Стратегия государственной</w:t>
            </w:r>
            <w:r>
              <w:t xml:space="preserve"> </w:t>
            </w:r>
            <w:proofErr w:type="spellStart"/>
            <w:r>
              <w:t>антинаркотической</w:t>
            </w:r>
            <w:proofErr w:type="spellEnd"/>
            <w:r>
              <w:t xml:space="preserve"> политики Российской Федерации на период до 2030 года, утвержденная Указом Президента Российской Федерации от 23 ноября 2020 года N 733;</w:t>
            </w:r>
          </w:p>
          <w:p w:rsidR="00EE15D2" w:rsidRDefault="00EE15D2">
            <w:pPr>
              <w:pStyle w:val="ConsPlusNormal"/>
            </w:pPr>
            <w:proofErr w:type="gramStart"/>
            <w:r>
              <w:t xml:space="preserve">формы межведомственной статистической отчетности 1-МВ-НОН и 4-МВ-НОН утвержденные приказом Министерства внутренних дел Российской Федерации N 521, Министра обороны Российской Федерации N 402, Министерства здравоохранения Российской Федерации N 748, Министерства просвещения Российской Федерации N 433, Федеральной службы безопасности Российской Федерации N 259, Федеральной службы войск национальной гвардии Российской Федерации N 262, Федеральной службы исполнения наказаний </w:t>
            </w:r>
            <w:r>
              <w:lastRenderedPageBreak/>
              <w:t>Российской Федерации N 598, Федеральной таможенной</w:t>
            </w:r>
            <w:proofErr w:type="gramEnd"/>
            <w:r>
              <w:t xml:space="preserve"> службы Российской Федерации N 586, Генеральной прокуратуры Российской Федерации N 367, Следственного комитета Российской Федерации N 106 от 9 июля 2021 года</w:t>
            </w:r>
          </w:p>
        </w:tc>
      </w:tr>
      <w:tr w:rsidR="00EE15D2" w:rsidTr="00300A14">
        <w:tc>
          <w:tcPr>
            <w:tcW w:w="3061" w:type="dxa"/>
          </w:tcPr>
          <w:p w:rsidR="00EE15D2" w:rsidRDefault="00EE15D2">
            <w:pPr>
              <w:pStyle w:val="ConsPlusNormal"/>
            </w:pPr>
            <w:r>
              <w:lastRenderedPageBreak/>
              <w:t>2. Уровень преступности, человек на 100 тыс. населения в отчетном году</w:t>
            </w:r>
          </w:p>
        </w:tc>
        <w:tc>
          <w:tcPr>
            <w:tcW w:w="3005" w:type="dxa"/>
          </w:tcPr>
          <w:p w:rsidR="00EE15D2" w:rsidRDefault="00EE15D2">
            <w:pPr>
              <w:pStyle w:val="ConsPlusNormal"/>
              <w:jc w:val="center"/>
            </w:pPr>
            <w:r>
              <w:t xml:space="preserve">U = </w:t>
            </w:r>
            <w:proofErr w:type="spellStart"/>
            <w:r>
              <w:t>Кпр</w:t>
            </w:r>
            <w:proofErr w:type="spellEnd"/>
            <w:r>
              <w:t xml:space="preserve">. / </w:t>
            </w:r>
            <w:proofErr w:type="spellStart"/>
            <w:proofErr w:type="gramStart"/>
            <w:r>
              <w:t>N</w:t>
            </w:r>
            <w:proofErr w:type="gramEnd"/>
            <w:r>
              <w:t>обл</w:t>
            </w:r>
            <w:proofErr w:type="spellEnd"/>
            <w:r>
              <w:t xml:space="preserve">. </w:t>
            </w:r>
            <w:proofErr w:type="spellStart"/>
            <w:r>
              <w:t>x</w:t>
            </w:r>
            <w:proofErr w:type="spellEnd"/>
            <w:r>
              <w:t xml:space="preserve"> 100000,</w:t>
            </w:r>
          </w:p>
          <w:p w:rsidR="00EE15D2" w:rsidRDefault="00EE15D2">
            <w:pPr>
              <w:pStyle w:val="ConsPlusNormal"/>
            </w:pPr>
            <w:r>
              <w:t>где:</w:t>
            </w:r>
          </w:p>
          <w:p w:rsidR="00EE15D2" w:rsidRDefault="00EE15D2">
            <w:pPr>
              <w:pStyle w:val="ConsPlusNormal"/>
            </w:pPr>
            <w:r>
              <w:t>U - уровень преступности в Архангельской области в отчетном году;</w:t>
            </w:r>
          </w:p>
          <w:p w:rsidR="00EE15D2" w:rsidRDefault="00EE15D2">
            <w:pPr>
              <w:pStyle w:val="ConsPlusNormal"/>
            </w:pPr>
            <w:proofErr w:type="spellStart"/>
            <w:r>
              <w:t>Кпр</w:t>
            </w:r>
            <w:proofErr w:type="spellEnd"/>
            <w:r>
              <w:t>. - количество всех преступлений, зарегистрированных на территории Архангельской области в отчетном году;</w:t>
            </w:r>
          </w:p>
          <w:p w:rsidR="00EE15D2" w:rsidRDefault="00EE15D2">
            <w:pPr>
              <w:pStyle w:val="ConsPlusNormal"/>
            </w:pPr>
            <w:proofErr w:type="spellStart"/>
            <w:proofErr w:type="gramStart"/>
            <w:r>
              <w:t>N</w:t>
            </w:r>
            <w:proofErr w:type="gramEnd"/>
            <w:r>
              <w:t>обл</w:t>
            </w:r>
            <w:proofErr w:type="spellEnd"/>
            <w:r>
              <w:t>. - численность населения Архангельской области</w:t>
            </w:r>
          </w:p>
        </w:tc>
        <w:tc>
          <w:tcPr>
            <w:tcW w:w="3635" w:type="dxa"/>
          </w:tcPr>
          <w:p w:rsidR="00EE15D2" w:rsidRDefault="00EE15D2">
            <w:pPr>
              <w:pStyle w:val="ConsPlusNormal"/>
            </w:pPr>
            <w:r>
              <w:t>Статистические данные Управления Министерства внутренних дел Российской Федерации по Архангельской области;</w:t>
            </w:r>
          </w:p>
          <w:p w:rsidR="00EE15D2" w:rsidRDefault="00EE15D2">
            <w:pPr>
              <w:pStyle w:val="ConsPlusNormal"/>
            </w:pPr>
            <w:r>
              <w:t>статистические данные Управления Федеральной службы государственной статистики по Архангельской области и Ненецкому автономному округу</w:t>
            </w:r>
          </w:p>
        </w:tc>
      </w:tr>
    </w:tbl>
    <w:p w:rsidR="00EE15D2" w:rsidRDefault="00EE15D2">
      <w:pPr>
        <w:pStyle w:val="ConsPlusNormal"/>
        <w:ind w:firstLine="540"/>
        <w:jc w:val="both"/>
      </w:pPr>
    </w:p>
    <w:p w:rsidR="00EE15D2" w:rsidRDefault="00EE15D2">
      <w:pPr>
        <w:pStyle w:val="ConsPlusTitle"/>
        <w:jc w:val="center"/>
        <w:outlineLvl w:val="1"/>
      </w:pPr>
      <w:r>
        <w:t>3. Структура государственной программы</w:t>
      </w:r>
    </w:p>
    <w:p w:rsidR="00EE15D2" w:rsidRDefault="00EE15D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23"/>
        <w:gridCol w:w="2381"/>
        <w:gridCol w:w="4996"/>
        <w:gridCol w:w="2012"/>
      </w:tblGrid>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81"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Задача структурного элемента</w:t>
            </w:r>
          </w:p>
        </w:tc>
        <w:tc>
          <w:tcPr>
            <w:tcW w:w="4996"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Краткое описание ожидаемых эффектов от реализации задачи структурного элемента</w:t>
            </w:r>
          </w:p>
        </w:tc>
        <w:tc>
          <w:tcPr>
            <w:tcW w:w="2012"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Связь с показателями государственной программы</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1</w:t>
            </w:r>
          </w:p>
        </w:tc>
        <w:tc>
          <w:tcPr>
            <w:tcW w:w="2381"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2</w:t>
            </w:r>
          </w:p>
        </w:tc>
        <w:tc>
          <w:tcPr>
            <w:tcW w:w="4996"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3</w:t>
            </w:r>
          </w:p>
        </w:tc>
        <w:tc>
          <w:tcPr>
            <w:tcW w:w="2012"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4</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1</w:t>
            </w:r>
          </w:p>
        </w:tc>
        <w:tc>
          <w:tcPr>
            <w:tcW w:w="9389" w:type="dxa"/>
            <w:gridSpan w:val="3"/>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Проектная часть государственной программы</w:t>
            </w:r>
          </w:p>
        </w:tc>
      </w:tr>
      <w:tr w:rsidR="00EE15D2" w:rsidTr="00300A14">
        <w:tc>
          <w:tcPr>
            <w:tcW w:w="10012" w:type="dxa"/>
            <w:gridSpan w:val="4"/>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2</w:t>
            </w:r>
          </w:p>
        </w:tc>
        <w:tc>
          <w:tcPr>
            <w:tcW w:w="9389" w:type="dxa"/>
            <w:gridSpan w:val="3"/>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Процессная часть государственной программы</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2.1</w:t>
            </w:r>
          </w:p>
        </w:tc>
        <w:tc>
          <w:tcPr>
            <w:tcW w:w="9389" w:type="dxa"/>
            <w:gridSpan w:val="3"/>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Комплекс процессных мероприятий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утвержден распоряжением администрации Губернатора и Правительства от 29 сентября 2023 года N 137-р/од</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p>
        </w:tc>
        <w:tc>
          <w:tcPr>
            <w:tcW w:w="7377" w:type="dxa"/>
            <w:gridSpan w:val="2"/>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Соисполнитель государственной программы - Администрация Губернатора и Правительства</w:t>
            </w:r>
          </w:p>
        </w:tc>
        <w:tc>
          <w:tcPr>
            <w:tcW w:w="2012"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 xml:space="preserve">Срок реализации: </w:t>
            </w:r>
            <w:r w:rsidR="004D3656" w:rsidRPr="00974D8A">
              <w:rPr>
                <w:color w:val="000000"/>
                <w:szCs w:val="20"/>
              </w:rPr>
              <w:t>202</w:t>
            </w:r>
            <w:r w:rsidR="004D3656">
              <w:rPr>
                <w:color w:val="000000"/>
                <w:szCs w:val="20"/>
              </w:rPr>
              <w:t>5</w:t>
            </w:r>
            <w:r w:rsidR="004D3656" w:rsidRPr="00974D8A">
              <w:rPr>
                <w:color w:val="000000"/>
                <w:szCs w:val="20"/>
              </w:rPr>
              <w:t xml:space="preserve"> – 202</w:t>
            </w:r>
            <w:r w:rsidR="004D3656">
              <w:rPr>
                <w:color w:val="000000"/>
                <w:szCs w:val="20"/>
              </w:rPr>
              <w:t>7</w:t>
            </w:r>
            <w:r w:rsidR="004D3656" w:rsidRPr="00974D8A">
              <w:rPr>
                <w:color w:val="000000"/>
                <w:szCs w:val="20"/>
              </w:rPr>
              <w:t xml:space="preserve"> годы</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2.1.1</w:t>
            </w:r>
          </w:p>
        </w:tc>
        <w:tc>
          <w:tcPr>
            <w:tcW w:w="2381"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 xml:space="preserve">Профилактика незаконного потребления наркотических средств и психотропных </w:t>
            </w:r>
            <w:r>
              <w:lastRenderedPageBreak/>
              <w:t>веществ</w:t>
            </w:r>
          </w:p>
        </w:tc>
        <w:tc>
          <w:tcPr>
            <w:tcW w:w="4996"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lastRenderedPageBreak/>
              <w:t xml:space="preserve">Проведен комплекс консультационных мероприятий, семинаров для специалистов образовательных организаций, обучающихся, родителей (законных представителей), с молодежью по вопросам профилактики отклоняющегося поведения, в том числе </w:t>
            </w:r>
            <w:r>
              <w:lastRenderedPageBreak/>
              <w:t>незаконного потребления наркотических средств и психотропных веществ в образовательной среде.</w:t>
            </w:r>
          </w:p>
          <w:p w:rsidR="00EE15D2" w:rsidRDefault="00EE15D2">
            <w:pPr>
              <w:pStyle w:val="ConsPlusNormal"/>
            </w:pPr>
            <w:r>
              <w:t>Проведены конкурсы среди общеобразовательных организаций профилактической направленности, социологические исследования о распространенности злоупотреблений наркотическими средствами среди населения Архангельской области</w:t>
            </w:r>
          </w:p>
        </w:tc>
        <w:tc>
          <w:tcPr>
            <w:tcW w:w="2012"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lastRenderedPageBreak/>
              <w:t>Показатель государственной программы (далее - показатель) N 1</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lastRenderedPageBreak/>
              <w:t>2.1.2</w:t>
            </w:r>
          </w:p>
        </w:tc>
        <w:tc>
          <w:tcPr>
            <w:tcW w:w="2381"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c>
          <w:tcPr>
            <w:tcW w:w="4996"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Проведен комплекс мероприятий по профилактике преступлений и правонарушений с участием молодежи, освещению деятельности правоохранительных органов Архангельской области.</w:t>
            </w:r>
          </w:p>
          <w:p w:rsidR="00EE15D2" w:rsidRDefault="00EE15D2">
            <w:pPr>
              <w:pStyle w:val="ConsPlusNormal"/>
            </w:pPr>
            <w:proofErr w:type="gramStart"/>
            <w:r>
              <w:t>Проведены профилактические мероприятия с родителями (законными представителями) и педагогическими работниками по вопросам предупреждения и преодоления проявлений отклоняющегося поведения детей и подростков, обучающие мероприятия по повышению квалификации специалистов образовательных организаций, присуждены премии сотрудникам органов внутренних дел и войск национальной гвардии за отличное исполнение обязанностей по обеспечению общественного порядка и общественной безопасности на территории Архангельской области.</w:t>
            </w:r>
            <w:proofErr w:type="gramEnd"/>
          </w:p>
          <w:p w:rsidR="00EE15D2" w:rsidRDefault="00EE15D2">
            <w:pPr>
              <w:pStyle w:val="ConsPlusNormal"/>
            </w:pPr>
            <w:r>
              <w:t>Проведены конкурсы, направленные на вовлечение граждан в охрану общественного порядка и общественной безопасности на добровольных началах</w:t>
            </w:r>
          </w:p>
        </w:tc>
        <w:tc>
          <w:tcPr>
            <w:tcW w:w="2012"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Показатель N 2</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2.1.3</w:t>
            </w:r>
          </w:p>
        </w:tc>
        <w:tc>
          <w:tcPr>
            <w:tcW w:w="2381"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 xml:space="preserve">Снижение количества зарегистрированных на территории Архангельской области хищений, совершаемых с использованием информационно-телекоммуникационных технологий, обеспечение доступности информации о видах и способах совершения хищений с использованием информационно-телекоммуникационных </w:t>
            </w:r>
            <w:r>
              <w:lastRenderedPageBreak/>
              <w:t>технологий, а также о возможных мерах по защите от противоправных деяний</w:t>
            </w:r>
          </w:p>
        </w:tc>
        <w:tc>
          <w:tcPr>
            <w:tcW w:w="4996"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lastRenderedPageBreak/>
              <w:t>Проведен комплекс мероприятий, направленных на предотвращение хищений, совершаемых с использованием информационно-телекоммуникационных технологий, в том числе путем информирования населения Архангельской области о возможных способах совершения хищений, совершаемых с использованием информационно-телекоммуникационных технологий</w:t>
            </w:r>
          </w:p>
        </w:tc>
        <w:tc>
          <w:tcPr>
            <w:tcW w:w="2012"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Показатель N 2</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lastRenderedPageBreak/>
              <w:t>2.1.4</w:t>
            </w:r>
          </w:p>
        </w:tc>
        <w:tc>
          <w:tcPr>
            <w:tcW w:w="2381"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Организация взаимодействия и оптимизация деятельности в сфере профилактики терроризма и экстремизма, усиление антитеррористической защищенности социальных объектов, а также мест массового пребывания людей</w:t>
            </w:r>
          </w:p>
        </w:tc>
        <w:tc>
          <w:tcPr>
            <w:tcW w:w="4996"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Проведен комплекс мероприятий, направленный на профилактику терроризма и экстремизма с участием специалистов органов и учреждений системы профилактики по вопросам предупреждения экстремизма и терроризма среди обучающихся образовательных организаций.</w:t>
            </w:r>
          </w:p>
          <w:p w:rsidR="00EE15D2" w:rsidRDefault="00EE15D2">
            <w:pPr>
              <w:pStyle w:val="ConsPlusNormal"/>
            </w:pPr>
            <w:r>
              <w:t>Проведены информационно-просветительские мероприятия, направленные на профилактику экстремизма и терроризма в информационно-телекоммуникационной сети "Интернет", усилена антитеррористическая защищенность образовательных организаций</w:t>
            </w:r>
          </w:p>
        </w:tc>
        <w:tc>
          <w:tcPr>
            <w:tcW w:w="2012"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Показатель N 2</w:t>
            </w:r>
          </w:p>
        </w:tc>
      </w:tr>
      <w:tr w:rsidR="00EE15D2" w:rsidTr="00300A14">
        <w:tc>
          <w:tcPr>
            <w:tcW w:w="623"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2.1.5</w:t>
            </w:r>
          </w:p>
        </w:tc>
        <w:tc>
          <w:tcPr>
            <w:tcW w:w="2381"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 xml:space="preserve">Организация и проведение </w:t>
            </w:r>
            <w:proofErr w:type="spellStart"/>
            <w:r>
              <w:t>антикоррупционной</w:t>
            </w:r>
            <w:proofErr w:type="spellEnd"/>
            <w:r>
              <w:t xml:space="preserve"> пропаганды и вовлечение гражданского общества в процесс реализации </w:t>
            </w:r>
            <w:proofErr w:type="spellStart"/>
            <w:r>
              <w:t>антикоррупционной</w:t>
            </w:r>
            <w:proofErr w:type="spellEnd"/>
            <w:r>
              <w:t xml:space="preserve"> политики</w:t>
            </w:r>
          </w:p>
        </w:tc>
        <w:tc>
          <w:tcPr>
            <w:tcW w:w="4996"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Проведен комплекс мероприятий по формированию в обществе нетерпимости к коррупционному поведению</w:t>
            </w:r>
          </w:p>
        </w:tc>
        <w:tc>
          <w:tcPr>
            <w:tcW w:w="2012"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Показатель N 2</w:t>
            </w:r>
          </w:p>
        </w:tc>
      </w:tr>
    </w:tbl>
    <w:p w:rsidR="00EE15D2" w:rsidRDefault="00EE15D2">
      <w:pPr>
        <w:pStyle w:val="ConsPlusNormal"/>
        <w:ind w:firstLine="540"/>
        <w:jc w:val="both"/>
      </w:pPr>
    </w:p>
    <w:p w:rsidR="00EE15D2" w:rsidRDefault="00EE15D2">
      <w:pPr>
        <w:pStyle w:val="ConsPlusTitle"/>
        <w:jc w:val="center"/>
        <w:outlineLvl w:val="1"/>
      </w:pPr>
      <w:r>
        <w:t>4. Финансовое обеспечение государственной программы</w:t>
      </w:r>
    </w:p>
    <w:p w:rsidR="00EE15D2" w:rsidRDefault="00EE15D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449"/>
        <w:gridCol w:w="1191"/>
        <w:gridCol w:w="1134"/>
        <w:gridCol w:w="1077"/>
        <w:gridCol w:w="1191"/>
      </w:tblGrid>
      <w:tr w:rsidR="00EE15D2" w:rsidTr="00300A14">
        <w:tc>
          <w:tcPr>
            <w:tcW w:w="5449"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Наименование структурного элемента</w:t>
            </w:r>
          </w:p>
        </w:tc>
        <w:tc>
          <w:tcPr>
            <w:tcW w:w="4593" w:type="dxa"/>
            <w:gridSpan w:val="4"/>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Объем финансового обеспечения по годам реализации (тыс. рублей)</w:t>
            </w:r>
          </w:p>
        </w:tc>
      </w:tr>
      <w:tr w:rsidR="004D3656" w:rsidTr="00300A14">
        <w:tc>
          <w:tcPr>
            <w:tcW w:w="5449" w:type="dxa"/>
            <w:vMerge/>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1"/>
              <w:rPr>
                <w:rFonts w:ascii="Times New Roman" w:hAnsi="Times New Roman"/>
                <w:color w:val="000000"/>
                <w:sz w:val="24"/>
                <w:szCs w:val="24"/>
              </w:rPr>
            </w:pPr>
            <w:r w:rsidRPr="004D3656">
              <w:rPr>
                <w:rFonts w:ascii="Times New Roman" w:hAnsi="Times New Roman"/>
                <w:color w:val="000000"/>
                <w:sz w:val="24"/>
                <w:szCs w:val="24"/>
              </w:rPr>
              <w:t>2025 г.</w:t>
            </w:r>
          </w:p>
        </w:tc>
        <w:tc>
          <w:tcPr>
            <w:tcW w:w="1134"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1"/>
              <w:rPr>
                <w:rFonts w:ascii="Times New Roman" w:hAnsi="Times New Roman"/>
                <w:color w:val="000000"/>
                <w:sz w:val="24"/>
                <w:szCs w:val="24"/>
              </w:rPr>
            </w:pPr>
            <w:r w:rsidRPr="004D3656">
              <w:rPr>
                <w:rFonts w:ascii="Times New Roman" w:hAnsi="Times New Roman"/>
                <w:color w:val="000000"/>
                <w:sz w:val="24"/>
                <w:szCs w:val="24"/>
              </w:rPr>
              <w:t>2026 г.</w:t>
            </w:r>
          </w:p>
        </w:tc>
        <w:tc>
          <w:tcPr>
            <w:tcW w:w="1077"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1"/>
              <w:rPr>
                <w:rFonts w:ascii="Times New Roman" w:hAnsi="Times New Roman"/>
                <w:color w:val="000000"/>
                <w:sz w:val="24"/>
                <w:szCs w:val="24"/>
              </w:rPr>
            </w:pPr>
            <w:r w:rsidRPr="004D3656">
              <w:rPr>
                <w:rFonts w:ascii="Times New Roman" w:hAnsi="Times New Roman"/>
                <w:color w:val="000000"/>
                <w:sz w:val="24"/>
                <w:szCs w:val="24"/>
              </w:rPr>
              <w:t>2027 г.</w:t>
            </w:r>
          </w:p>
        </w:tc>
        <w:tc>
          <w:tcPr>
            <w:tcW w:w="1191" w:type="dxa"/>
            <w:tcBorders>
              <w:top w:val="single" w:sz="4" w:space="0" w:color="auto"/>
              <w:left w:val="single" w:sz="4" w:space="0" w:color="auto"/>
              <w:bottom w:val="single" w:sz="4" w:space="0" w:color="auto"/>
              <w:right w:val="single" w:sz="4" w:space="0" w:color="auto"/>
            </w:tcBorders>
          </w:tcPr>
          <w:p w:rsidR="004D3656" w:rsidRPr="004D3656" w:rsidRDefault="004D3656" w:rsidP="004D3656">
            <w:pPr>
              <w:widowControl w:val="0"/>
              <w:autoSpaceDE w:val="0"/>
              <w:jc w:val="center"/>
              <w:outlineLvl w:val="1"/>
              <w:rPr>
                <w:rFonts w:ascii="Times New Roman" w:hAnsi="Times New Roman"/>
                <w:color w:val="000000"/>
                <w:sz w:val="24"/>
                <w:szCs w:val="24"/>
              </w:rPr>
            </w:pPr>
            <w:r w:rsidRPr="004D3656">
              <w:rPr>
                <w:rFonts w:ascii="Times New Roman" w:hAnsi="Times New Roman"/>
                <w:color w:val="000000"/>
                <w:sz w:val="24"/>
                <w:szCs w:val="24"/>
              </w:rPr>
              <w:t>Всего</w:t>
            </w:r>
          </w:p>
        </w:tc>
      </w:tr>
      <w:tr w:rsidR="004D3656" w:rsidTr="00300A14">
        <w:tc>
          <w:tcPr>
            <w:tcW w:w="5449"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Государственная программа (всего) в том числе:</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center"/>
              <w:rPr>
                <w:rFonts w:ascii="Times New Roman" w:hAnsi="Times New Roman"/>
                <w:bCs/>
                <w:color w:val="000000"/>
                <w:sz w:val="24"/>
                <w:szCs w:val="24"/>
              </w:rPr>
            </w:pPr>
            <w:r w:rsidRPr="004D3656">
              <w:rPr>
                <w:rFonts w:ascii="Times New Roman" w:hAnsi="Times New Roman"/>
                <w:bCs/>
                <w:color w:val="000000"/>
                <w:sz w:val="24"/>
                <w:szCs w:val="24"/>
              </w:rPr>
              <w:t>5 751,8</w:t>
            </w:r>
          </w:p>
        </w:tc>
        <w:tc>
          <w:tcPr>
            <w:tcW w:w="1134"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74 114,3</w:t>
            </w:r>
          </w:p>
        </w:tc>
        <w:tc>
          <w:tcPr>
            <w:tcW w:w="1077"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74 114,3</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153 980,4</w:t>
            </w:r>
          </w:p>
        </w:tc>
      </w:tr>
      <w:tr w:rsidR="004D3656" w:rsidTr="00300A14">
        <w:tc>
          <w:tcPr>
            <w:tcW w:w="5449"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Областной бюджет</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center"/>
              <w:rPr>
                <w:rFonts w:ascii="Times New Roman" w:hAnsi="Times New Roman"/>
                <w:bCs/>
                <w:color w:val="000000"/>
                <w:sz w:val="24"/>
                <w:szCs w:val="24"/>
              </w:rPr>
            </w:pPr>
            <w:r w:rsidRPr="004D3656">
              <w:rPr>
                <w:rFonts w:ascii="Times New Roman" w:hAnsi="Times New Roman"/>
                <w:bCs/>
                <w:color w:val="000000"/>
                <w:sz w:val="24"/>
                <w:szCs w:val="24"/>
              </w:rPr>
              <w:t>5 751,8</w:t>
            </w:r>
          </w:p>
        </w:tc>
        <w:tc>
          <w:tcPr>
            <w:tcW w:w="1134"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74 114,3</w:t>
            </w:r>
          </w:p>
        </w:tc>
        <w:tc>
          <w:tcPr>
            <w:tcW w:w="1077"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74 114,3</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153 980,4</w:t>
            </w:r>
          </w:p>
        </w:tc>
      </w:tr>
      <w:tr w:rsidR="004D3656" w:rsidTr="00300A14">
        <w:tc>
          <w:tcPr>
            <w:tcW w:w="5449"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Консолидированные бюджеты муниципальных образований Архангельской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center"/>
              <w:rPr>
                <w:rFonts w:ascii="Times New Roman" w:hAnsi="Times New Roman"/>
                <w:sz w:val="24"/>
                <w:szCs w:val="24"/>
              </w:rPr>
            </w:pPr>
            <w:r w:rsidRPr="004D3656">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spacing w:line="288" w:lineRule="atLeast"/>
              <w:jc w:val="center"/>
              <w:rPr>
                <w:rFonts w:ascii="Times New Roman" w:hAnsi="Times New Roman"/>
                <w:sz w:val="24"/>
                <w:szCs w:val="24"/>
              </w:rPr>
            </w:pPr>
            <w:r w:rsidRPr="004D3656">
              <w:rPr>
                <w:rFonts w:ascii="Times New Roman" w:hAnsi="Times New Roman"/>
                <w:sz w:val="24"/>
                <w:szCs w:val="24"/>
              </w:rPr>
              <w:t>0</w:t>
            </w:r>
          </w:p>
        </w:tc>
        <w:tc>
          <w:tcPr>
            <w:tcW w:w="1077"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spacing w:line="288" w:lineRule="atLeast"/>
              <w:jc w:val="center"/>
              <w:rPr>
                <w:rFonts w:ascii="Times New Roman" w:hAnsi="Times New Roman"/>
                <w:sz w:val="24"/>
                <w:szCs w:val="24"/>
              </w:rPr>
            </w:pPr>
            <w:r w:rsidRPr="004D3656">
              <w:rPr>
                <w:rFonts w:ascii="Times New Roman" w:hAnsi="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center"/>
              <w:rPr>
                <w:rFonts w:ascii="Times New Roman" w:hAnsi="Times New Roman"/>
                <w:sz w:val="24"/>
                <w:szCs w:val="24"/>
              </w:rPr>
            </w:pPr>
            <w:r w:rsidRPr="004D3656">
              <w:rPr>
                <w:rFonts w:ascii="Times New Roman" w:hAnsi="Times New Roman"/>
                <w:sz w:val="24"/>
                <w:szCs w:val="24"/>
              </w:rPr>
              <w:t>0</w:t>
            </w:r>
          </w:p>
        </w:tc>
      </w:tr>
      <w:tr w:rsidR="004D3656" w:rsidTr="00300A14">
        <w:tc>
          <w:tcPr>
            <w:tcW w:w="5449"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 xml:space="preserve">Комплекс процессных мероприятий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 </w:t>
            </w:r>
            <w:r>
              <w:lastRenderedPageBreak/>
              <w:t>в том числе:</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center"/>
              <w:rPr>
                <w:rFonts w:ascii="Times New Roman" w:hAnsi="Times New Roman"/>
                <w:bCs/>
                <w:color w:val="000000"/>
                <w:sz w:val="24"/>
                <w:szCs w:val="24"/>
              </w:rPr>
            </w:pPr>
            <w:r w:rsidRPr="004D3656">
              <w:rPr>
                <w:rFonts w:ascii="Times New Roman" w:hAnsi="Times New Roman"/>
                <w:bCs/>
                <w:color w:val="000000"/>
                <w:sz w:val="24"/>
                <w:szCs w:val="24"/>
              </w:rPr>
              <w:lastRenderedPageBreak/>
              <w:t>5 751,8</w:t>
            </w:r>
          </w:p>
        </w:tc>
        <w:tc>
          <w:tcPr>
            <w:tcW w:w="1134"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74 114,3</w:t>
            </w:r>
          </w:p>
        </w:tc>
        <w:tc>
          <w:tcPr>
            <w:tcW w:w="1077"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74 114,3</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153 980,4</w:t>
            </w:r>
          </w:p>
        </w:tc>
      </w:tr>
      <w:tr w:rsidR="004D3656" w:rsidTr="00300A14">
        <w:tc>
          <w:tcPr>
            <w:tcW w:w="5449"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lastRenderedPageBreak/>
              <w:t>Областной бюджет</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center"/>
              <w:rPr>
                <w:rFonts w:ascii="Times New Roman" w:hAnsi="Times New Roman"/>
                <w:bCs/>
                <w:color w:val="000000"/>
                <w:sz w:val="24"/>
                <w:szCs w:val="24"/>
              </w:rPr>
            </w:pPr>
            <w:r w:rsidRPr="004D3656">
              <w:rPr>
                <w:rFonts w:ascii="Times New Roman" w:hAnsi="Times New Roman"/>
                <w:bCs/>
                <w:color w:val="000000"/>
                <w:sz w:val="24"/>
                <w:szCs w:val="24"/>
              </w:rPr>
              <w:t>5 751,8</w:t>
            </w:r>
          </w:p>
        </w:tc>
        <w:tc>
          <w:tcPr>
            <w:tcW w:w="1134"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74 114,3</w:t>
            </w:r>
          </w:p>
        </w:tc>
        <w:tc>
          <w:tcPr>
            <w:tcW w:w="1077"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74 114,3</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right"/>
              <w:rPr>
                <w:rFonts w:ascii="Times New Roman" w:hAnsi="Times New Roman"/>
                <w:bCs/>
                <w:color w:val="000000"/>
                <w:sz w:val="24"/>
                <w:szCs w:val="24"/>
              </w:rPr>
            </w:pPr>
            <w:r w:rsidRPr="004D3656">
              <w:rPr>
                <w:rFonts w:ascii="Times New Roman" w:hAnsi="Times New Roman"/>
                <w:bCs/>
                <w:color w:val="000000"/>
                <w:sz w:val="24"/>
                <w:szCs w:val="24"/>
              </w:rPr>
              <w:t>153 980,4</w:t>
            </w:r>
          </w:p>
        </w:tc>
      </w:tr>
      <w:tr w:rsidR="004D3656" w:rsidTr="00300A14">
        <w:tc>
          <w:tcPr>
            <w:tcW w:w="5449" w:type="dxa"/>
            <w:tcBorders>
              <w:top w:val="single" w:sz="4" w:space="0" w:color="auto"/>
              <w:left w:val="single" w:sz="4" w:space="0" w:color="auto"/>
              <w:bottom w:val="single" w:sz="4" w:space="0" w:color="auto"/>
              <w:right w:val="single" w:sz="4" w:space="0" w:color="auto"/>
            </w:tcBorders>
          </w:tcPr>
          <w:p w:rsidR="004D3656" w:rsidRDefault="004D3656" w:rsidP="004D3656">
            <w:pPr>
              <w:pStyle w:val="ConsPlusNormal"/>
            </w:pPr>
            <w:r>
              <w:t>Консолидированные бюджеты муниципальных образований Архангельской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center"/>
              <w:rPr>
                <w:rFonts w:ascii="Times New Roman" w:hAnsi="Times New Roman"/>
                <w:sz w:val="24"/>
                <w:szCs w:val="24"/>
              </w:rPr>
            </w:pPr>
            <w:r w:rsidRPr="004D3656">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spacing w:line="288" w:lineRule="atLeast"/>
              <w:jc w:val="center"/>
              <w:rPr>
                <w:rFonts w:ascii="Times New Roman" w:hAnsi="Times New Roman"/>
                <w:sz w:val="24"/>
                <w:szCs w:val="24"/>
              </w:rPr>
            </w:pPr>
            <w:r w:rsidRPr="004D3656">
              <w:rPr>
                <w:rFonts w:ascii="Times New Roman" w:hAnsi="Times New Roman"/>
                <w:sz w:val="24"/>
                <w:szCs w:val="24"/>
              </w:rPr>
              <w:t>0</w:t>
            </w:r>
          </w:p>
        </w:tc>
        <w:tc>
          <w:tcPr>
            <w:tcW w:w="1077"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spacing w:line="288" w:lineRule="atLeast"/>
              <w:jc w:val="center"/>
              <w:rPr>
                <w:rFonts w:ascii="Times New Roman" w:hAnsi="Times New Roman"/>
                <w:sz w:val="24"/>
                <w:szCs w:val="24"/>
              </w:rPr>
            </w:pPr>
            <w:r w:rsidRPr="004D3656">
              <w:rPr>
                <w:rFonts w:ascii="Times New Roman" w:hAnsi="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vAlign w:val="center"/>
          </w:tcPr>
          <w:p w:rsidR="004D3656" w:rsidRPr="004D3656" w:rsidRDefault="004D3656" w:rsidP="004D3656">
            <w:pPr>
              <w:jc w:val="center"/>
              <w:rPr>
                <w:rFonts w:ascii="Times New Roman" w:hAnsi="Times New Roman"/>
                <w:sz w:val="24"/>
                <w:szCs w:val="24"/>
              </w:rPr>
            </w:pPr>
            <w:r w:rsidRPr="004D3656">
              <w:rPr>
                <w:rFonts w:ascii="Times New Roman" w:hAnsi="Times New Roman"/>
                <w:sz w:val="24"/>
                <w:szCs w:val="24"/>
              </w:rPr>
              <w:t>0</w:t>
            </w:r>
          </w:p>
        </w:tc>
      </w:tr>
    </w:tbl>
    <w:p w:rsidR="00EE15D2" w:rsidRDefault="00EE15D2">
      <w:pPr>
        <w:pStyle w:val="ConsPlusNormal"/>
        <w:ind w:firstLine="540"/>
        <w:jc w:val="both"/>
      </w:pPr>
    </w:p>
    <w:p w:rsidR="00300A14" w:rsidRDefault="00300A14">
      <w:pPr>
        <w:pStyle w:val="ConsPlusNormal"/>
        <w:ind w:firstLine="540"/>
        <w:jc w:val="both"/>
      </w:pPr>
    </w:p>
    <w:p w:rsidR="00EE15D2" w:rsidRDefault="00EE15D2">
      <w:pPr>
        <w:pStyle w:val="ConsPlusTitle"/>
        <w:jc w:val="center"/>
        <w:outlineLvl w:val="1"/>
      </w:pPr>
      <w:r>
        <w:t>5. Показатели государственной программы в разрезе</w:t>
      </w:r>
    </w:p>
    <w:p w:rsidR="00EE15D2" w:rsidRDefault="00EE15D2">
      <w:pPr>
        <w:pStyle w:val="ConsPlusTitle"/>
        <w:jc w:val="center"/>
      </w:pPr>
      <w:r>
        <w:t>муниципальных образований Архангельской области</w:t>
      </w:r>
    </w:p>
    <w:p w:rsidR="00EE15D2" w:rsidRDefault="00EE15D2">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572"/>
        <w:gridCol w:w="1276"/>
        <w:gridCol w:w="850"/>
        <w:gridCol w:w="1168"/>
        <w:gridCol w:w="1134"/>
        <w:gridCol w:w="992"/>
        <w:gridCol w:w="1135"/>
      </w:tblGrid>
      <w:tr w:rsidR="00EE15D2" w:rsidTr="00300A14">
        <w:tc>
          <w:tcPr>
            <w:tcW w:w="3572" w:type="dxa"/>
            <w:vMerge w:val="restart"/>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Наименование муниципального образования Архангельской области</w:t>
            </w:r>
          </w:p>
        </w:tc>
        <w:tc>
          <w:tcPr>
            <w:tcW w:w="2126" w:type="dxa"/>
            <w:gridSpan w:val="2"/>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Базовое значение</w:t>
            </w:r>
          </w:p>
        </w:tc>
        <w:tc>
          <w:tcPr>
            <w:tcW w:w="4429" w:type="dxa"/>
            <w:gridSpan w:val="4"/>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Значение показателя по годам</w:t>
            </w:r>
          </w:p>
        </w:tc>
      </w:tr>
      <w:tr w:rsidR="00EE15D2" w:rsidTr="00300A14">
        <w:tc>
          <w:tcPr>
            <w:tcW w:w="3572" w:type="dxa"/>
            <w:vMerge/>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значение</w:t>
            </w:r>
          </w:p>
        </w:tc>
        <w:tc>
          <w:tcPr>
            <w:tcW w:w="850"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год</w:t>
            </w:r>
          </w:p>
        </w:tc>
        <w:tc>
          <w:tcPr>
            <w:tcW w:w="1168"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N</w:t>
            </w:r>
          </w:p>
        </w:tc>
        <w:tc>
          <w:tcPr>
            <w:tcW w:w="1134"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N+1</w:t>
            </w:r>
          </w:p>
        </w:tc>
        <w:tc>
          <w:tcPr>
            <w:tcW w:w="992"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proofErr w:type="spellStart"/>
            <w:r>
              <w:t>N+n</w:t>
            </w:r>
            <w:proofErr w:type="spellEnd"/>
          </w:p>
        </w:tc>
      </w:tr>
      <w:tr w:rsidR="00EE15D2" w:rsidTr="00300A14">
        <w:tc>
          <w:tcPr>
            <w:tcW w:w="10127" w:type="dxa"/>
            <w:gridSpan w:val="7"/>
            <w:tcBorders>
              <w:top w:val="single" w:sz="4" w:space="0" w:color="auto"/>
              <w:left w:val="single" w:sz="4" w:space="0" w:color="auto"/>
              <w:bottom w:val="single" w:sz="4" w:space="0" w:color="auto"/>
              <w:right w:val="single" w:sz="4" w:space="0" w:color="auto"/>
            </w:tcBorders>
          </w:tcPr>
          <w:p w:rsidR="00EE15D2" w:rsidRDefault="00EE15D2">
            <w:pPr>
              <w:pStyle w:val="ConsPlusNormal"/>
            </w:pPr>
            <w:r>
              <w:t>Наименование показателя государственной программы, единица измерения по ОКЕИ</w:t>
            </w:r>
          </w:p>
        </w:tc>
      </w:tr>
      <w:tr w:rsidR="00EE15D2" w:rsidTr="00300A14">
        <w:tc>
          <w:tcPr>
            <w:tcW w:w="3572"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Архангельская область</w:t>
            </w:r>
          </w:p>
        </w:tc>
        <w:tc>
          <w:tcPr>
            <w:tcW w:w="1276"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1168"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r>
      <w:tr w:rsidR="00EE15D2" w:rsidTr="00300A14">
        <w:tc>
          <w:tcPr>
            <w:tcW w:w="3572"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r>
              <w:t>Муниципальное образование</w:t>
            </w:r>
          </w:p>
        </w:tc>
        <w:tc>
          <w:tcPr>
            <w:tcW w:w="1276"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850"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1168"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992" w:type="dxa"/>
            <w:tcBorders>
              <w:top w:val="single" w:sz="4" w:space="0" w:color="auto"/>
              <w:left w:val="single" w:sz="4" w:space="0" w:color="auto"/>
              <w:bottom w:val="single" w:sz="4" w:space="0" w:color="auto"/>
              <w:right w:val="single" w:sz="4" w:space="0" w:color="auto"/>
            </w:tcBorders>
          </w:tcPr>
          <w:p w:rsidR="00EE15D2" w:rsidRDefault="00EE15D2">
            <w:pPr>
              <w:pStyle w:val="ConsPlusNormal"/>
              <w:jc w:val="center"/>
            </w:pPr>
            <w:r>
              <w:t>-</w:t>
            </w:r>
          </w:p>
        </w:tc>
        <w:tc>
          <w:tcPr>
            <w:tcW w:w="1135" w:type="dxa"/>
            <w:tcBorders>
              <w:top w:val="single" w:sz="4" w:space="0" w:color="auto"/>
              <w:left w:val="single" w:sz="4" w:space="0" w:color="auto"/>
              <w:bottom w:val="single" w:sz="4" w:space="0" w:color="auto"/>
              <w:right w:val="single" w:sz="4" w:space="0" w:color="auto"/>
            </w:tcBorders>
          </w:tcPr>
          <w:p w:rsidR="00EE15D2" w:rsidRDefault="00EE15D2">
            <w:pPr>
              <w:pStyle w:val="ConsPlusNormal"/>
            </w:pPr>
          </w:p>
        </w:tc>
      </w:tr>
    </w:tbl>
    <w:p w:rsidR="00EE15D2" w:rsidRDefault="00EE15D2">
      <w:pPr>
        <w:pStyle w:val="ConsPlusNormal"/>
        <w:ind w:firstLine="540"/>
        <w:jc w:val="both"/>
      </w:pPr>
    </w:p>
    <w:p w:rsidR="00EE15D2" w:rsidRDefault="00EE15D2">
      <w:pPr>
        <w:pStyle w:val="ConsPlusNormal"/>
        <w:ind w:firstLine="540"/>
        <w:jc w:val="both"/>
      </w:pPr>
    </w:p>
    <w:p w:rsidR="00EE15D2" w:rsidRDefault="00EE15D2">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p w:rsidR="00300A14" w:rsidRDefault="00300A14">
      <w:pPr>
        <w:pStyle w:val="ConsPlusNormal"/>
        <w:ind w:firstLine="540"/>
        <w:jc w:val="both"/>
      </w:pPr>
    </w:p>
    <w:sectPr w:rsidR="00300A14" w:rsidSect="009C4DC6">
      <w:headerReference w:type="default" r:id="rId16"/>
      <w:footerReference w:type="default" r:id="rId17"/>
      <w:pgSz w:w="11906" w:h="16838"/>
      <w:pgMar w:top="1103" w:right="566" w:bottom="993"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A5F" w:rsidRDefault="00354A5F">
      <w:pPr>
        <w:spacing w:after="0" w:line="240" w:lineRule="auto"/>
      </w:pPr>
      <w:r>
        <w:separator/>
      </w:r>
    </w:p>
  </w:endnote>
  <w:endnote w:type="continuationSeparator" w:id="0">
    <w:p w:rsidR="00354A5F" w:rsidRDefault="00354A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F4" w:rsidRDefault="007B5DE1">
    <w:pPr>
      <w:pStyle w:val="a5"/>
      <w:jc w:val="center"/>
    </w:pPr>
    <w:fldSimple w:instr=" PAGE   \* MERGEFORMAT ">
      <w:r w:rsidR="00DB4B2E">
        <w:rPr>
          <w:noProof/>
        </w:rPr>
        <w:t>2</w:t>
      </w:r>
    </w:fldSimple>
  </w:p>
  <w:p w:rsidR="00540FF4" w:rsidRDefault="00540FF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F4" w:rsidRDefault="007B5DE1">
    <w:pPr>
      <w:pStyle w:val="a5"/>
      <w:jc w:val="center"/>
    </w:pPr>
    <w:fldSimple w:instr=" PAGE   \* MERGEFORMAT ">
      <w:r w:rsidR="00DB4B2E">
        <w:rPr>
          <w:noProof/>
        </w:rPr>
        <w:t>10</w:t>
      </w:r>
    </w:fldSimple>
  </w:p>
  <w:p w:rsidR="00EE15D2" w:rsidRPr="009C4DC6" w:rsidRDefault="00EE15D2" w:rsidP="009C4DC6">
    <w:pPr>
      <w:pStyle w:val="a5"/>
      <w:rPr>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FF4" w:rsidRDefault="007B5DE1">
    <w:pPr>
      <w:pStyle w:val="a5"/>
      <w:jc w:val="center"/>
    </w:pPr>
    <w:fldSimple w:instr=" PAGE   \* MERGEFORMAT ">
      <w:r w:rsidR="00DB4B2E">
        <w:rPr>
          <w:noProof/>
        </w:rPr>
        <w:t>15</w:t>
      </w:r>
    </w:fldSimple>
  </w:p>
  <w:p w:rsidR="00EE15D2" w:rsidRPr="009C4DC6" w:rsidRDefault="00EE15D2" w:rsidP="009C4DC6">
    <w:pPr>
      <w:pStyle w:val="a5"/>
      <w:rPr>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A5F" w:rsidRDefault="00354A5F">
      <w:pPr>
        <w:spacing w:after="0" w:line="240" w:lineRule="auto"/>
      </w:pPr>
      <w:r>
        <w:separator/>
      </w:r>
    </w:p>
  </w:footnote>
  <w:footnote w:type="continuationSeparator" w:id="0">
    <w:p w:rsidR="00354A5F" w:rsidRDefault="00354A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D2" w:rsidRPr="009C4DC6" w:rsidRDefault="00EE15D2" w:rsidP="009C4D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5D2" w:rsidRPr="009C4DC6" w:rsidRDefault="00EE15D2" w:rsidP="009C4DC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D6E02"/>
    <w:rsid w:val="000376DA"/>
    <w:rsid w:val="00300A14"/>
    <w:rsid w:val="00354A5F"/>
    <w:rsid w:val="004D3656"/>
    <w:rsid w:val="00525D8E"/>
    <w:rsid w:val="00540FF4"/>
    <w:rsid w:val="005A630C"/>
    <w:rsid w:val="00605E3E"/>
    <w:rsid w:val="0071333E"/>
    <w:rsid w:val="007B5DE1"/>
    <w:rsid w:val="00974D8A"/>
    <w:rsid w:val="009C4DC6"/>
    <w:rsid w:val="00CD6E02"/>
    <w:rsid w:val="00DB4B2E"/>
    <w:rsid w:val="00E04516"/>
    <w:rsid w:val="00EE1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DE1"/>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7B5DE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B5DE1"/>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B5DE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B5DE1"/>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B5DE1"/>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B5DE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B5DE1"/>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7B5DE1"/>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4D3656"/>
    <w:pPr>
      <w:tabs>
        <w:tab w:val="center" w:pos="4677"/>
        <w:tab w:val="right" w:pos="9355"/>
      </w:tabs>
    </w:pPr>
  </w:style>
  <w:style w:type="character" w:customStyle="1" w:styleId="a4">
    <w:name w:val="Верхний колонтитул Знак"/>
    <w:basedOn w:val="a0"/>
    <w:link w:val="a3"/>
    <w:uiPriority w:val="99"/>
    <w:locked/>
    <w:rsid w:val="004D3656"/>
    <w:rPr>
      <w:rFonts w:cs="Times New Roman"/>
    </w:rPr>
  </w:style>
  <w:style w:type="paragraph" w:styleId="a5">
    <w:name w:val="footer"/>
    <w:basedOn w:val="a"/>
    <w:link w:val="a6"/>
    <w:uiPriority w:val="99"/>
    <w:unhideWhenUsed/>
    <w:rsid w:val="004D3656"/>
    <w:pPr>
      <w:tabs>
        <w:tab w:val="center" w:pos="4677"/>
        <w:tab w:val="right" w:pos="9355"/>
      </w:tabs>
    </w:pPr>
  </w:style>
  <w:style w:type="character" w:customStyle="1" w:styleId="a6">
    <w:name w:val="Нижний колонтитул Знак"/>
    <w:basedOn w:val="a0"/>
    <w:link w:val="a5"/>
    <w:uiPriority w:val="99"/>
    <w:locked/>
    <w:rsid w:val="004D365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8506&amp;date=12.08.2024&amp;dst=27974&amp;field=134"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127131&amp;date=12.08.202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464894&amp;date=12.08.2024" TargetMode="External"/><Relationship Id="rId11" Type="http://schemas.openxmlformats.org/officeDocument/2006/relationships/hyperlink" Target="https://login.consultant.ru/link/?req=doc&amp;base=LAW&amp;n=389271&amp;date=12.08.2024" TargetMode="External"/><Relationship Id="rId5" Type="http://schemas.openxmlformats.org/officeDocument/2006/relationships/endnotes" Target="endnotes.xml"/><Relationship Id="rId15" Type="http://schemas.openxmlformats.org/officeDocument/2006/relationships/hyperlink" Target="https://login.consultant.ru/link/?req=doc&amp;base=LAW&amp;n=153560&amp;date=12.08.2024" TargetMode="External"/><Relationship Id="rId10" Type="http://schemas.openxmlformats.org/officeDocument/2006/relationships/hyperlink" Target="https://login.consultant.ru/link/?req=doc&amp;base=LAW&amp;n=443288&amp;date=12.08.202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4292</Words>
  <Characters>30938</Characters>
  <Application>Microsoft Office Word</Application>
  <DocSecurity>2</DocSecurity>
  <Lines>257</Lines>
  <Paragraphs>70</Paragraphs>
  <ScaleCrop>false</ScaleCrop>
  <Company>КонсультантПлюс Версия 4023.00.50</Company>
  <LinksUpToDate>false</LinksUpToDate>
  <CharactersWithSpaces>35160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11.10.2013 N 478-пп(ред. от 15.07.2024)"О государственной программе Архангельской области "Обеспечение общественного порядка, профилактика преступности, коррупции, терроризма, экстремизма и незаконного</dc:title>
  <dc:creator>minfin user</dc:creator>
  <cp:lastModifiedBy>minfin user</cp:lastModifiedBy>
  <cp:revision>3</cp:revision>
  <dcterms:created xsi:type="dcterms:W3CDTF">2024-10-25T11:04:00Z</dcterms:created>
  <dcterms:modified xsi:type="dcterms:W3CDTF">2024-10-25T11:15:00Z</dcterms:modified>
</cp:coreProperties>
</file>