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7854"/>
        <w:gridCol w:w="7853"/>
      </w:tblGrid>
      <w:tr w:rsidR="00484486">
        <w:tc>
          <w:tcPr>
            <w:tcW w:w="1570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F466C5" w:rsidRPr="00F466C5" w:rsidRDefault="009F3DB8" w:rsidP="00F466C5">
            <w:pPr>
              <w:ind w:left="106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B8">
              <w:rPr>
                <w:rFonts w:ascii="Times New Roman" w:eastAsia="Times New Roman" w:hAnsi="Times New Roman" w:cs="Times New Roman"/>
                <w:i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86786">
              <w:rPr>
                <w:rFonts w:ascii="Times New Roman" w:eastAsia="Times New Roman" w:hAnsi="Times New Roman" w:cs="Times New Roman"/>
              </w:rPr>
              <w:br/>
            </w:r>
            <w:r w:rsidR="00F466C5" w:rsidRPr="00F466C5">
              <w:rPr>
                <w:rFonts w:ascii="Times New Roman" w:hAnsi="Times New Roman" w:cs="Times New Roman"/>
                <w:sz w:val="20"/>
                <w:szCs w:val="20"/>
              </w:rPr>
              <w:t>В редакции распоряжения министерства транспорта Архангельской области от 14 октября 2024 г. № 260-р</w:t>
            </w:r>
          </w:p>
          <w:p w:rsidR="00484486" w:rsidRDefault="00586786">
            <w:pPr>
              <w:ind w:left="55" w:right="55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 С П О Р Т</w:t>
            </w:r>
          </w:p>
        </w:tc>
      </w:tr>
      <w:tr w:rsidR="00484486">
        <w:tc>
          <w:tcPr>
            <w:tcW w:w="1570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комплекса процессных мероприятий</w:t>
            </w:r>
          </w:p>
        </w:tc>
      </w:tr>
      <w:tr w:rsidR="00484486">
        <w:tc>
          <w:tcPr>
            <w:tcW w:w="1570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«Улучшение эксплуатационного состояния автомобильных дорог общего пользования регионального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или межмуниципального значения за счет ремонта, капитального ремонта и содержания»</w:t>
            </w:r>
          </w:p>
        </w:tc>
      </w:tr>
      <w:tr w:rsidR="00484486" w:rsidRPr="00F466C5">
        <w:tc>
          <w:tcPr>
            <w:tcW w:w="7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Pr="00F466C5" w:rsidRDefault="00484486">
            <w:pPr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7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Pr="00F466C5" w:rsidRDefault="00484486">
            <w:pPr>
              <w:ind w:left="55" w:right="55"/>
              <w:jc w:val="center"/>
              <w:rPr>
                <w:sz w:val="16"/>
                <w:szCs w:val="16"/>
              </w:rPr>
            </w:pPr>
          </w:p>
        </w:tc>
      </w:tr>
      <w:tr w:rsidR="00484486">
        <w:tc>
          <w:tcPr>
            <w:tcW w:w="1570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</w:tc>
      </w:tr>
      <w:tr w:rsidR="00484486">
        <w:tc>
          <w:tcPr>
            <w:tcW w:w="7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7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</w:tr>
      <w:tr w:rsidR="00484486">
        <w:tc>
          <w:tcPr>
            <w:tcW w:w="7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МИНИСТЕРСТВО ТРАНСПОРТА АРХАНГЕЛЬСКОЙ ОБЛАСТИ</w:t>
            </w:r>
          </w:p>
          <w:p w:rsidR="00484486" w:rsidRDefault="00586786">
            <w:pPr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Роднев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Сергей Витальевич – Министр транспорта Архангельской области</w:t>
            </w:r>
          </w:p>
        </w:tc>
      </w:tr>
      <w:tr w:rsidR="00484486">
        <w:tc>
          <w:tcPr>
            <w:tcW w:w="7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Связь с государственной программой</w:t>
            </w:r>
          </w:p>
        </w:tc>
        <w:tc>
          <w:tcPr>
            <w:tcW w:w="7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Государственная программа "Развитие транспортной системы Архангельской области"</w:t>
            </w:r>
          </w:p>
        </w:tc>
      </w:tr>
    </w:tbl>
    <w:p w:rsidR="00484486" w:rsidRDefault="00484486"/>
    <w:tbl>
      <w:tblPr>
        <w:tblW w:w="0" w:type="auto"/>
        <w:tblInd w:w="108" w:type="dxa"/>
        <w:tblLayout w:type="fixed"/>
        <w:tblLook w:val="04A0"/>
      </w:tblPr>
      <w:tblGrid>
        <w:gridCol w:w="585"/>
        <w:gridCol w:w="3687"/>
        <w:gridCol w:w="2326"/>
        <w:gridCol w:w="2327"/>
        <w:gridCol w:w="967"/>
        <w:gridCol w:w="966"/>
        <w:gridCol w:w="968"/>
        <w:gridCol w:w="968"/>
        <w:gridCol w:w="967"/>
        <w:gridCol w:w="1945"/>
      </w:tblGrid>
      <w:tr w:rsidR="00484486">
        <w:tc>
          <w:tcPr>
            <w:tcW w:w="15706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Показатели комплекса процессных мероприятий</w:t>
            </w:r>
          </w:p>
        </w:tc>
      </w:tr>
      <w:tr w:rsidR="00484486">
        <w:tc>
          <w:tcPr>
            <w:tcW w:w="5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290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9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</w:tr>
      <w:tr w:rsidR="00484486"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показателя/задачи</w:t>
            </w:r>
          </w:p>
        </w:tc>
        <w:tc>
          <w:tcPr>
            <w:tcW w:w="23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Уровень показателя</w:t>
            </w:r>
          </w:p>
        </w:tc>
        <w:tc>
          <w:tcPr>
            <w:tcW w:w="23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Единица измерения</w:t>
            </w:r>
          </w:p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(по ОКЕИ)</w:t>
            </w:r>
          </w:p>
        </w:tc>
        <w:tc>
          <w:tcPr>
            <w:tcW w:w="19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Базовое значение</w:t>
            </w:r>
          </w:p>
        </w:tc>
        <w:tc>
          <w:tcPr>
            <w:tcW w:w="29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Значение показателя по годам</w:t>
            </w:r>
          </w:p>
        </w:tc>
        <w:tc>
          <w:tcPr>
            <w:tcW w:w="19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за достижение показателя</w:t>
            </w:r>
          </w:p>
        </w:tc>
      </w:tr>
      <w:tr w:rsidR="00484486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36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3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3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значение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год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2025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2026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2027</w:t>
            </w:r>
          </w:p>
        </w:tc>
        <w:tc>
          <w:tcPr>
            <w:tcW w:w="19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</w:tr>
      <w:tr w:rsidR="0048448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</w:tr>
      <w:tr w:rsidR="0048448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1512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Задача «Осуществление дорожной деятельности в отношении автомобильных дорог общего пользования регионального или межмуниципального значения (далее – региональные автомобильные дороги) в целях обеспечения достижения целей (реализации) национального проекта «Инфраструктура для жизни» на территории  Архангельской области»</w:t>
            </w:r>
          </w:p>
        </w:tc>
      </w:tr>
      <w:tr w:rsidR="0048448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1.1.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Количество разработанных проектных документаций на устройство линий искусственного освещения на региональных автомобильных дорогах (нарастающим итогом)</w:t>
            </w:r>
          </w:p>
        </w:tc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КПМ</w:t>
            </w:r>
          </w:p>
        </w:tc>
        <w:tc>
          <w:tcPr>
            <w:tcW w:w="2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Штука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МИНИСТЕРСТВО ТРАНСПОРТА АРХАНГЕЛЬСКОЙ ОБЛАСТИ</w:t>
            </w:r>
          </w:p>
        </w:tc>
      </w:tr>
      <w:tr w:rsidR="0048448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1.2.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Протяженность региональных автомобильных дорог, соответствующих нормативным требованиям к транспортно-эксплуатационным показателям, в результате капитального ремонта и ремонта (нарастающим итогом)</w:t>
            </w:r>
          </w:p>
        </w:tc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КПМ</w:t>
            </w:r>
          </w:p>
        </w:tc>
        <w:tc>
          <w:tcPr>
            <w:tcW w:w="2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Километр; тысяча метров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МИНИСТЕРСТВО ТРАНСПОРТА АРХАНГЕЛЬСКОЙ ОБЛАСТИ</w:t>
            </w:r>
          </w:p>
        </w:tc>
      </w:tr>
      <w:tr w:rsidR="0048448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1512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Задача «Обеспечение сохранности региональных автомобильных дорог и безопасного, бесперебойного движения транспортных средств по региональным автомобильным дорогам»</w:t>
            </w:r>
          </w:p>
        </w:tc>
      </w:tr>
      <w:tr w:rsidR="0048448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2.1.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Доля дорожно-транспортных происшествий, совершению которых сопутствовало наличие неудовлетворительных дорожных условий, в общем количестве дорожно-транспортных происшествий (далее – ДТП) на региональных автомобильных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дорогах</w:t>
            </w:r>
          </w:p>
        </w:tc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КПМ</w:t>
            </w:r>
          </w:p>
        </w:tc>
        <w:tc>
          <w:tcPr>
            <w:tcW w:w="2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Процент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МИНИСТЕРСТВО ТРАНСПОРТА АРХАНГЕЛЬСКОЙ ОБЛАСТИ</w:t>
            </w:r>
          </w:p>
        </w:tc>
      </w:tr>
      <w:tr w:rsidR="0048448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2.2.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Доля протяженности региональных автомобильных дорог, на которые получены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правоудостоверяющие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документы, в общей протяженности региональных автомобильных дорог</w:t>
            </w:r>
          </w:p>
        </w:tc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КПМ</w:t>
            </w:r>
          </w:p>
        </w:tc>
        <w:tc>
          <w:tcPr>
            <w:tcW w:w="2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Процент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МИНИСТЕРСТВО ТРАНСПОРТА АРХАНГЕЛЬСКОЙ ОБЛАСТИ</w:t>
            </w:r>
          </w:p>
        </w:tc>
      </w:tr>
    </w:tbl>
    <w:p w:rsidR="00484486" w:rsidRDefault="00484486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484486" w:rsidRDefault="00586786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Порядок расчета и источники информации о значениях целевых показателей комплекса процессных мероприятий</w:t>
      </w:r>
    </w:p>
    <w:p w:rsidR="00484486" w:rsidRDefault="00484486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</w:rPr>
      </w:pPr>
    </w:p>
    <w:tbl>
      <w:tblPr>
        <w:tblW w:w="4969" w:type="pct"/>
        <w:tblInd w:w="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1"/>
        <w:gridCol w:w="5812"/>
        <w:gridCol w:w="4729"/>
      </w:tblGrid>
      <w:tr w:rsidR="00484486">
        <w:trPr>
          <w:tblHeader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целевых показателей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Порядок расчета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информации</w:t>
            </w:r>
          </w:p>
        </w:tc>
      </w:tr>
      <w:tr w:rsidR="00484486"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8"/>
              </w:rPr>
              <w:t>1.1 Количество разработанных проектных документаций на устройство линий искусственного освещения на региональных автомобильных дорогах (нарастающим итогом)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актов приемки разработанной проектной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штук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Акты приемки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разработанной проектной документации </w:t>
            </w:r>
          </w:p>
        </w:tc>
      </w:tr>
      <w:tr w:rsidR="00484486"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 Протяженность региональных автомобильных дорог, соответствующих нормативным требованиям к транспортно-эксплуатационным показателям, в результате капитального ремонта и ремонта (нарастающим итогом)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показателей актов приемки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законченных капитальным ремонтом (ремонтом) объектов приемочной комиссией в отчетном периоде,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Акты приемки законченного капитальным ремонтом (ремонтом) объекта приемочной комиссией</w:t>
            </w:r>
          </w:p>
        </w:tc>
      </w:tr>
      <w:tr w:rsidR="00484486"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 Доля дорожно-транспортных происшествий, совершению которых сопутствовало наличие неудовлетворительных дорожных условий, в общем количестве дорожно-транспортных происшествий на региональных автомобильных дорогах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ДТП с наличием неудовлетворительных дорожных условий/ общее количество ДТП за отчетный период</w:t>
            </w:r>
            <w:proofErr w:type="gram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Показатели состояния безопасности дорожного движения ГИБДД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http://stat.gibdd.ru/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Архангельская область, региональные автомобильные дороги</w:t>
            </w:r>
          </w:p>
        </w:tc>
      </w:tr>
      <w:tr w:rsidR="00484486">
        <w:trPr>
          <w:trHeight w:val="230"/>
        </w:trPr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 Доля протяженности региональных автомобильных дорог, на которые получены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документы, в общей протяженности региональных автомобильных дорог</w:t>
            </w:r>
          </w:p>
          <w:p w:rsidR="00484486" w:rsidRDefault="004844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протяженности региональных автомобильных дорог указанных в выписках из ЕГРН, поступивших в отчетном периоде/общая протяженность региональных автомобильных дорог на начало отчетного периода)*100, проценты</w:t>
            </w:r>
          </w:p>
        </w:tc>
        <w:tc>
          <w:tcPr>
            <w:tcW w:w="4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4486" w:rsidRDefault="005867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Выписки из ЕГРН о регистрации объекта недвижимости (в части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которые получены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документы), </w:t>
            </w:r>
          </w:p>
          <w:p w:rsidR="00484486" w:rsidRDefault="005867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федеральное статистическое наблюдение «Сведения об автомобильных дорогах общего пользования и сооружениях на них федерального, регионального или межмуниципального значения» по форме № 1-ДГ (в части  общей протяженности  автомобильных дорог)</w:t>
            </w:r>
          </w:p>
        </w:tc>
      </w:tr>
    </w:tbl>
    <w:p w:rsidR="00484486" w:rsidRDefault="00484486">
      <w:pPr>
        <w:rPr>
          <w:rFonts w:ascii="Times New Roman" w:hAnsi="Times New Roman" w:cs="Times New Roman"/>
        </w:rPr>
      </w:pPr>
    </w:p>
    <w:p w:rsidR="00484486" w:rsidRDefault="00484486"/>
    <w:p w:rsidR="00484486" w:rsidRDefault="00484486">
      <w:pPr>
        <w:sectPr w:rsidR="00484486">
          <w:headerReference w:type="default" r:id="rId6"/>
          <w:headerReference w:type="first" r:id="rId7"/>
          <w:footerReference w:type="first" r:id="rId8"/>
          <w:pgSz w:w="16838" w:h="11906" w:orient="landscape"/>
          <w:pgMar w:top="1133" w:right="566" w:bottom="1133" w:left="566" w:header="709" w:footer="709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449"/>
        <w:gridCol w:w="2819"/>
        <w:gridCol w:w="1782"/>
        <w:gridCol w:w="1779"/>
        <w:gridCol w:w="740"/>
        <w:gridCol w:w="740"/>
        <w:gridCol w:w="740"/>
        <w:gridCol w:w="740"/>
        <w:gridCol w:w="740"/>
        <w:gridCol w:w="739"/>
        <w:gridCol w:w="740"/>
        <w:gridCol w:w="740"/>
        <w:gridCol w:w="740"/>
        <w:gridCol w:w="740"/>
        <w:gridCol w:w="740"/>
        <w:gridCol w:w="736"/>
      </w:tblGrid>
      <w:tr w:rsidR="00484486">
        <w:tc>
          <w:tcPr>
            <w:tcW w:w="15704" w:type="dxa"/>
            <w:gridSpan w:val="1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Помесячный план достижения показателей комплекса процессных мероприятий в 2025 году</w:t>
            </w:r>
          </w:p>
        </w:tc>
      </w:tr>
      <w:tr w:rsidR="00484486">
        <w:tc>
          <w:tcPr>
            <w:tcW w:w="4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</w:tr>
      <w:tr w:rsidR="00484486">
        <w:tc>
          <w:tcPr>
            <w:tcW w:w="4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7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Уровень показателя</w:t>
            </w:r>
          </w:p>
        </w:tc>
        <w:tc>
          <w:tcPr>
            <w:tcW w:w="17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Единица измерения</w:t>
            </w:r>
          </w:p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(по ОКЕИ)</w:t>
            </w:r>
          </w:p>
        </w:tc>
        <w:tc>
          <w:tcPr>
            <w:tcW w:w="813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Плановые значения по месяцам</w:t>
            </w:r>
          </w:p>
        </w:tc>
        <w:tc>
          <w:tcPr>
            <w:tcW w:w="7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2025 года</w:t>
            </w:r>
          </w:p>
        </w:tc>
      </w:tr>
      <w:tr w:rsidR="00484486">
        <w:tc>
          <w:tcPr>
            <w:tcW w:w="44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8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7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7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янв.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март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апр.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май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июнь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июль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авг.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сен.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окт.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ноя.</w:t>
            </w:r>
          </w:p>
        </w:tc>
        <w:tc>
          <w:tcPr>
            <w:tcW w:w="7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</w:tr>
      <w:tr w:rsidR="00484486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</w:tr>
      <w:tr w:rsidR="00484486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1525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Задача «Осуществление дорожной деятельности в отношении автомобильных дорог общего пользования регионального или межмуниципального значения (далее – региональные автомобильные дороги) в целях обеспечения достижения целей (реализации) национального проекта «Инфраструктура для жизни» на территории  Архангельской области»</w:t>
            </w:r>
          </w:p>
        </w:tc>
      </w:tr>
      <w:tr w:rsidR="00484486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1.1.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Количество разработанных проектных документаций на устройство линий искусственного освещения на региональных автомобильных дорогах (нарастающим итогом)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КПМ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Штука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84486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1.2.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Протяженность региональных автомобильных дорог, соответствующих нормативным требованиям к транспортно-эксплуатационным показателям, в результате капитального ремонта и ремонта (нарастающим итогом)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КПМ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Километр; тысяча метров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</w:tr>
      <w:tr w:rsidR="00484486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1525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Задача «Обеспечение сохранности региональных автомобильных дорог и безопасного, бесперебойного движения транспортных средств по региональным автомобильным дорогам»</w:t>
            </w:r>
          </w:p>
        </w:tc>
      </w:tr>
      <w:tr w:rsidR="00484486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2.1.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Доля дорожно-транспортных происшествий, совершению которых сопутствовало наличие неудовлетворительных дорожных условий, в общем количестве дорожно-транспортных происшествий (далее – ДТП) на региональных автомобильных дорогах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КПМ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Процент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13,8</w:t>
            </w:r>
          </w:p>
        </w:tc>
      </w:tr>
      <w:tr w:rsidR="00484486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2.2.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Доля протяженности региональных автомобильных дорог, на которые получены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правоудостоверяющие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документы, в общей протяженности региональных автомобильных дорог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КПМ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Процент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92</w:t>
            </w:r>
          </w:p>
        </w:tc>
      </w:tr>
      <w:tr w:rsidR="00484486">
        <w:tc>
          <w:tcPr>
            <w:tcW w:w="4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7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</w:tr>
    </w:tbl>
    <w:p w:rsidR="00484486" w:rsidRDefault="00484486"/>
    <w:p w:rsidR="00484486" w:rsidRDefault="00484486">
      <w:pPr>
        <w:sectPr w:rsidR="00484486">
          <w:pgSz w:w="16838" w:h="11906" w:orient="landscape"/>
          <w:pgMar w:top="1133" w:right="566" w:bottom="1133" w:left="566" w:header="709" w:footer="709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669"/>
        <w:gridCol w:w="4200"/>
        <w:gridCol w:w="2664"/>
        <w:gridCol w:w="2664"/>
        <w:gridCol w:w="1101"/>
        <w:gridCol w:w="1103"/>
        <w:gridCol w:w="1103"/>
        <w:gridCol w:w="1101"/>
        <w:gridCol w:w="1101"/>
      </w:tblGrid>
      <w:tr w:rsidR="00484486">
        <w:tc>
          <w:tcPr>
            <w:tcW w:w="15706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Перечень мероприятий (результатов) комплекса процессных мероприятий</w:t>
            </w:r>
          </w:p>
        </w:tc>
      </w:tr>
      <w:tr w:rsidR="00484486"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</w:tr>
      <w:tr w:rsidR="00484486">
        <w:tc>
          <w:tcPr>
            <w:tcW w:w="6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42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мероприятия (результата)</w:t>
            </w:r>
          </w:p>
        </w:tc>
        <w:tc>
          <w:tcPr>
            <w:tcW w:w="26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Тип мероприятий (результата)</w:t>
            </w:r>
          </w:p>
        </w:tc>
        <w:tc>
          <w:tcPr>
            <w:tcW w:w="26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Единица измерения</w:t>
            </w:r>
          </w:p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(по ОКЕИ)</w:t>
            </w:r>
          </w:p>
        </w:tc>
        <w:tc>
          <w:tcPr>
            <w:tcW w:w="2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Базовое значение</w:t>
            </w:r>
          </w:p>
        </w:tc>
        <w:tc>
          <w:tcPr>
            <w:tcW w:w="33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84486">
        <w:tc>
          <w:tcPr>
            <w:tcW w:w="6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42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6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6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значение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год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2025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2026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2027</w:t>
            </w:r>
          </w:p>
        </w:tc>
      </w:tr>
      <w:tr w:rsidR="00484486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</w:tr>
      <w:tr w:rsidR="00484486">
        <w:tc>
          <w:tcPr>
            <w:tcW w:w="15706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Задача «Осуществление дорожной деятельности в отношении автомобильных дорог общего пользования регионального или межмуниципального значения (далее – региональные автомобильные дороги) в целях обеспечения достижения целей (реализации) национального проекта «Инфраструктура для жизни» на территории Архангельской области»</w:t>
            </w:r>
          </w:p>
        </w:tc>
      </w:tr>
      <w:tr w:rsidR="00484486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1.1.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Выполнен капитальный ремонт и ремонт участков (объектов) региональных автомобильных дорог, а также искусственных сооружений, не включенных в национальный проект «Инфраструктура для жизни»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Приобретение товаров, работ, услуг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Условная единица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2023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</w:tr>
      <w:tr w:rsidR="00484486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1.1.1.</w:t>
            </w:r>
          </w:p>
        </w:tc>
        <w:tc>
          <w:tcPr>
            <w:tcW w:w="1503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 Реализация за счет средств федерального бюджета (нет). 2. Механизм реализации мероприятия (результата): Реализация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Архангельскавтодор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”», подведомственным министерству транспорта Архангельской области, в соответствии с требованиями Федерального закона от 5 апреля 2013 года № 44-ФЗ. Расходы осуществляются за счет средств дорожного фонда Архангельской области</w:t>
            </w:r>
          </w:p>
        </w:tc>
      </w:tr>
      <w:tr w:rsidR="00484486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1.2.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Приведены в нормативное состояние и устроены вновь элементы обустройства автомобильных дорог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Приобретение товаров, работ, услуг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Условная единица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2023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</w:tr>
      <w:tr w:rsidR="00484486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1.2.1.</w:t>
            </w:r>
          </w:p>
        </w:tc>
        <w:tc>
          <w:tcPr>
            <w:tcW w:w="1503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 Реализация за счет средств федерального бюджета (нет). 2. Механизм реализации мероприятия (результата): Реализация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Архангельскавтодор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”», подведомственным министерству транспорта Архангельской области, в соответствии с требованиями Федерального закона от 5 апреля 2013 года № 44-ФЗ. Расходы осуществляются за счет средств дорожного фонда Архангельской области</w:t>
            </w:r>
          </w:p>
        </w:tc>
      </w:tr>
      <w:tr w:rsidR="00484486">
        <w:tc>
          <w:tcPr>
            <w:tcW w:w="15706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Задача «Обеспечение сохранности региональных автомобильных дорог и безопасного, бесперебойного движения транспортных средств по региональным автомобильным дорогам»</w:t>
            </w:r>
          </w:p>
        </w:tc>
      </w:tr>
      <w:tr w:rsidR="00484486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2.1.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Обеспечено бесперебойное движение автотранспортных средств по региональным автомобильным дорогам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Приобретение товаров, работ, услуг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Километр; тысяча метров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7 018,211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2023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7 018,211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7 018,211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7 018,211</w:t>
            </w:r>
          </w:p>
        </w:tc>
      </w:tr>
      <w:tr w:rsidR="00484486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2.1.1.</w:t>
            </w:r>
          </w:p>
        </w:tc>
        <w:tc>
          <w:tcPr>
            <w:tcW w:w="1503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 Реализация за счет средств федерального бюджета (нет). 2. Механизм реализации мероприятия (результата): Реализация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Архангельскавтодор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”», подведомственным министерству транспорта Архангельской области, в соответствии с требованиями Федерального закона от 5 апреля 2013 года № 44-ФЗ. Расходы осуществляются за счет средств дорожного фонда Архангельской области</w:t>
            </w:r>
          </w:p>
        </w:tc>
      </w:tr>
      <w:tr w:rsidR="00484486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2.2.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Оформлены права оперативного управления региональными автомобильными дорогами или их участками и постоянного (бессрочного) пользования на земельные участки под автомобильными дорогами в рамках обеспечения сохранности  региональных автомобильных дорог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Приобретение товаров, работ, услуг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Километр; тысяча метров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500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2023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210,545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280,728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280,728</w:t>
            </w:r>
          </w:p>
        </w:tc>
      </w:tr>
      <w:tr w:rsidR="00484486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2.2.1.</w:t>
            </w:r>
          </w:p>
        </w:tc>
        <w:tc>
          <w:tcPr>
            <w:tcW w:w="1503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 Реализация за счет средств федерального бюджета (нет). 2. Механизм реализации мероприятия (результата): Реализация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Архангельскавтодор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”», подведомственным министерству транспорта Архангельской области, в соответствии с требованиями Федерального закона от 5 апреля 2013 года № 44-ФЗ. Расходы осуществляются за счет средств дорожного фонда Архангельской области</w:t>
            </w:r>
          </w:p>
        </w:tc>
      </w:tr>
      <w:tr w:rsidR="00484486"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2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</w:tr>
    </w:tbl>
    <w:p w:rsidR="00484486" w:rsidRDefault="00484486"/>
    <w:p w:rsidR="00484486" w:rsidRDefault="00484486">
      <w:pPr>
        <w:sectPr w:rsidR="00484486">
          <w:pgSz w:w="16838" w:h="11906" w:orient="landscape"/>
          <w:pgMar w:top="1133" w:right="566" w:bottom="1133" w:left="566" w:header="709" w:footer="709" w:gutter="0"/>
          <w:cols w:space="720"/>
          <w:docGrid w:linePitch="360"/>
        </w:sectPr>
      </w:pPr>
    </w:p>
    <w:tbl>
      <w:tblPr>
        <w:tblW w:w="15708" w:type="dxa"/>
        <w:tblInd w:w="108" w:type="dxa"/>
        <w:tblLayout w:type="fixed"/>
        <w:tblLook w:val="04A0"/>
      </w:tblPr>
      <w:tblGrid>
        <w:gridCol w:w="8018"/>
        <w:gridCol w:w="1923"/>
        <w:gridCol w:w="1921"/>
        <w:gridCol w:w="1923"/>
        <w:gridCol w:w="1923"/>
      </w:tblGrid>
      <w:tr w:rsidR="00484486">
        <w:tc>
          <w:tcPr>
            <w:tcW w:w="1570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 Финансовое обеспечение комплекса процессных мероприятий</w:t>
            </w:r>
          </w:p>
        </w:tc>
      </w:tr>
      <w:tr w:rsidR="00484486">
        <w:tc>
          <w:tcPr>
            <w:tcW w:w="8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vAlign w:val="bottom"/>
          </w:tcPr>
          <w:p w:rsidR="00484486" w:rsidRDefault="00484486">
            <w:pPr>
              <w:ind w:left="55" w:right="55"/>
            </w:pPr>
          </w:p>
        </w:tc>
      </w:tr>
      <w:tr w:rsidR="00484486">
        <w:tc>
          <w:tcPr>
            <w:tcW w:w="80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69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484486">
        <w:tc>
          <w:tcPr>
            <w:tcW w:w="80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484486">
            <w:pPr>
              <w:ind w:left="55" w:right="55"/>
              <w:jc w:val="center"/>
            </w:pP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2025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2026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2027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Комплекс процессных мероприятий «Улучшение эксплуатационного состояния автомобильных дорог общего пользования регионального или межмуниципального значения за счет ремонта, капитального ремонта и содержания» (всего), в том числе: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4 287 135,3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3 755 281,0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3 541 201,1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11 583 617,4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областной бюджет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4 287 135,3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3 755 281,0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3 541 201,1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11 583 617,4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1.1. Выполнен капитальный ремонт и ремонт участков (объектов) региональных автомобильных дорог, а также искусственных сооружений, не включенных в национальный проект «Инфраструктура для жизни» (всего), в том числе: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742 634,2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214 079,8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956 714,0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областной бюджет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742 634,2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214 079,8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956 714,0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1.2. Приведены в нормативное состояние и устроены вновь элементы обустройства автомобильных дорог (всего), в том числе: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3 300,0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3 300,0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областной бюджет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3 300,0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3 300,0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2.1. Обеспечено бесперебойное движение автотранспортных средств по региональным автомобильным дорогам (всего), в том числе: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3 534 201,1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3 534 201,1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3 534 201,1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10 602 603,3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областной бюджет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3 534 201,1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3 534 201,1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3 534 201,1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10 602 603,3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2.2. Оформлены права оперативного управления региональными автомобильными дорогами или их участками и постоянного (бессрочного) пользования на земельные участки под автомобильными дорогами в рамках обеспечения сохранности  региональных автомобильных дорог (всего), в том числе: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7 000,0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7 000,0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7 000,0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21 000,0</w:t>
            </w:r>
          </w:p>
        </w:tc>
      </w:tr>
      <w:tr w:rsidR="00484486">
        <w:tc>
          <w:tcPr>
            <w:tcW w:w="8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ind w:left="55"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областной бюджет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7 000,0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7 000,0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7 000,0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</w:tcPr>
          <w:p w:rsidR="00484486" w:rsidRDefault="00586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21 000,0</w:t>
            </w:r>
          </w:p>
        </w:tc>
      </w:tr>
    </w:tbl>
    <w:p w:rsidR="00484486" w:rsidRDefault="00484486"/>
    <w:p w:rsidR="00484486" w:rsidRDefault="00586786">
      <w:pPr>
        <w:pStyle w:val="110"/>
        <w:spacing w:before="5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6. </w:t>
      </w:r>
      <w:r>
        <w:rPr>
          <w:b/>
          <w:sz w:val="28"/>
          <w:szCs w:val="28"/>
        </w:rPr>
        <w:t>План реализации комплекса процессных мероприятий в текущем году</w:t>
      </w:r>
    </w:p>
    <w:p w:rsidR="00484486" w:rsidRDefault="00484486">
      <w:pPr>
        <w:pStyle w:val="110"/>
        <w:spacing w:before="5" w:after="1"/>
        <w:jc w:val="left"/>
        <w:rPr>
          <w:sz w:val="28"/>
          <w:szCs w:val="28"/>
        </w:rPr>
      </w:pPr>
    </w:p>
    <w:tbl>
      <w:tblPr>
        <w:tblW w:w="15189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9"/>
        <w:gridCol w:w="4055"/>
        <w:gridCol w:w="3629"/>
        <w:gridCol w:w="2806"/>
      </w:tblGrid>
      <w:tr w:rsidR="00484486">
        <w:tc>
          <w:tcPr>
            <w:tcW w:w="4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3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  <w:noWrap/>
          </w:tcPr>
          <w:p w:rsidR="00484486" w:rsidRDefault="00586786">
            <w:pPr>
              <w:ind w:left="55"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подтверждающего документа</w:t>
            </w:r>
          </w:p>
        </w:tc>
      </w:tr>
      <w:tr w:rsidR="00484486">
        <w:tc>
          <w:tcPr>
            <w:tcW w:w="4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  <w:noWrap/>
          </w:tcPr>
          <w:p w:rsidR="00484486" w:rsidRDefault="00586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484486" w:rsidRDefault="00484486">
      <w:pPr>
        <w:pStyle w:val="110"/>
        <w:spacing w:before="5" w:after="1"/>
        <w:jc w:val="left"/>
        <w:rPr>
          <w:sz w:val="28"/>
          <w:szCs w:val="28"/>
        </w:rPr>
      </w:pPr>
    </w:p>
    <w:p w:rsidR="00484486" w:rsidRDefault="00484486">
      <w:pPr>
        <w:pStyle w:val="af7"/>
        <w:spacing w:before="2"/>
        <w:jc w:val="center"/>
        <w:rPr>
          <w:rFonts w:ascii="Times New Roman" w:hAnsi="Times New Roman" w:cs="Times New Roman"/>
          <w:sz w:val="20"/>
          <w:szCs w:val="20"/>
        </w:rPr>
      </w:pPr>
    </w:p>
    <w:p w:rsidR="00484486" w:rsidRDefault="00586786">
      <w:pPr>
        <w:pStyle w:val="af7"/>
        <w:spacing w:before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484486" w:rsidRDefault="00484486">
      <w:pPr>
        <w:rPr>
          <w:rFonts w:ascii="Times New Roman" w:hAnsi="Times New Roman" w:cs="Times New Roman"/>
        </w:rPr>
      </w:pPr>
    </w:p>
    <w:sectPr w:rsidR="00484486" w:rsidSect="00484486">
      <w:pgSz w:w="16838" w:h="11906" w:orient="landscape"/>
      <w:pgMar w:top="1133" w:right="566" w:bottom="1133" w:left="56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486" w:rsidRDefault="00586786">
      <w:r>
        <w:separator/>
      </w:r>
    </w:p>
  </w:endnote>
  <w:endnote w:type="continuationSeparator" w:id="0">
    <w:p w:rsidR="00484486" w:rsidRDefault="00586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86" w:rsidRDefault="004844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486" w:rsidRDefault="00586786">
      <w:r>
        <w:separator/>
      </w:r>
    </w:p>
  </w:footnote>
  <w:footnote w:type="continuationSeparator" w:id="0">
    <w:p w:rsidR="00484486" w:rsidRDefault="00586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86" w:rsidRDefault="009F3DB8">
    <w:pPr>
      <w:pStyle w:val="Header"/>
      <w:jc w:val="center"/>
      <w:rPr>
        <w:rFonts w:ascii="Times New Roman" w:hAnsi="Times New Roman" w:cs="Times New Roman"/>
      </w:rPr>
    </w:pPr>
    <w:r w:rsidRPr="009F3DB8">
      <w:fldChar w:fldCharType="begin"/>
    </w:r>
    <w:r w:rsidR="00586786">
      <w:instrText>PAGE \* MERGEFORMAT</w:instrText>
    </w:r>
    <w:r w:rsidRPr="009F3DB8">
      <w:fldChar w:fldCharType="separate"/>
    </w:r>
    <w:r w:rsidR="00F466C5" w:rsidRPr="00F466C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84486" w:rsidRDefault="004844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86" w:rsidRDefault="004844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484486"/>
    <w:rsid w:val="00484486"/>
    <w:rsid w:val="00586786"/>
    <w:rsid w:val="009F3DB8"/>
    <w:rsid w:val="00F4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86"/>
    <w:pPr>
      <w:widowControl w:val="0"/>
    </w:pPr>
    <w:rPr>
      <w:rFonts w:ascii="Calibri" w:eastAsia="DejaVu Sans" w:hAnsi="Calibri" w:cs="Noto Sans Devanagari"/>
      <w:sz w:val="22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8448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48448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8448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8448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8448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8448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8448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8448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8448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8448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8448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8448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8448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8448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8448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844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8448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8448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8448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84486"/>
    <w:rPr>
      <w:sz w:val="24"/>
      <w:szCs w:val="24"/>
    </w:rPr>
  </w:style>
  <w:style w:type="character" w:customStyle="1" w:styleId="QuoteChar">
    <w:name w:val="Quote Char"/>
    <w:uiPriority w:val="29"/>
    <w:rsid w:val="00484486"/>
    <w:rPr>
      <w:i/>
    </w:rPr>
  </w:style>
  <w:style w:type="character" w:customStyle="1" w:styleId="IntenseQuoteChar">
    <w:name w:val="Intense Quote Char"/>
    <w:uiPriority w:val="30"/>
    <w:rsid w:val="00484486"/>
    <w:rPr>
      <w:i/>
    </w:rPr>
  </w:style>
  <w:style w:type="character" w:customStyle="1" w:styleId="HeaderChar">
    <w:name w:val="Header Char"/>
    <w:basedOn w:val="a0"/>
    <w:uiPriority w:val="99"/>
    <w:rsid w:val="00484486"/>
  </w:style>
  <w:style w:type="character" w:customStyle="1" w:styleId="CaptionChar">
    <w:name w:val="Caption Char"/>
    <w:uiPriority w:val="99"/>
    <w:rsid w:val="00484486"/>
  </w:style>
  <w:style w:type="character" w:customStyle="1" w:styleId="FootnoteTextChar">
    <w:name w:val="Footnote Text Char"/>
    <w:uiPriority w:val="99"/>
    <w:rsid w:val="00484486"/>
    <w:rPr>
      <w:sz w:val="18"/>
    </w:rPr>
  </w:style>
  <w:style w:type="character" w:customStyle="1" w:styleId="EndnoteTextChar">
    <w:name w:val="Endnote Text Char"/>
    <w:uiPriority w:val="99"/>
    <w:rsid w:val="00484486"/>
    <w:rPr>
      <w:sz w:val="20"/>
    </w:rPr>
  </w:style>
  <w:style w:type="character" w:customStyle="1" w:styleId="1">
    <w:name w:val="Заголовок 1 Знак"/>
    <w:link w:val="Heading1"/>
    <w:uiPriority w:val="1"/>
    <w:rsid w:val="0048448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484486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48448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48448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48448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48448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4844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48448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48448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84486"/>
    <w:pPr>
      <w:ind w:left="720"/>
      <w:contextualSpacing/>
    </w:pPr>
  </w:style>
  <w:style w:type="paragraph" w:styleId="a4">
    <w:name w:val="No Spacing"/>
    <w:uiPriority w:val="1"/>
    <w:qFormat/>
    <w:rsid w:val="00484486"/>
  </w:style>
  <w:style w:type="paragraph" w:styleId="a5">
    <w:name w:val="Title"/>
    <w:basedOn w:val="a"/>
    <w:next w:val="a"/>
    <w:link w:val="a6"/>
    <w:uiPriority w:val="10"/>
    <w:qFormat/>
    <w:rsid w:val="0048448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8448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84486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48448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48448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8448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844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84486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484486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Header"/>
    <w:uiPriority w:val="99"/>
    <w:rsid w:val="00484486"/>
  </w:style>
  <w:style w:type="paragraph" w:customStyle="1" w:styleId="Footer">
    <w:name w:val="Footer"/>
    <w:basedOn w:val="a"/>
    <w:link w:val="ac"/>
    <w:uiPriority w:val="99"/>
    <w:unhideWhenUsed/>
    <w:rsid w:val="0048448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84486"/>
  </w:style>
  <w:style w:type="paragraph" w:customStyle="1" w:styleId="Caption">
    <w:name w:val="Caption"/>
    <w:basedOn w:val="a"/>
    <w:qFormat/>
    <w:rsid w:val="00484486"/>
    <w:pPr>
      <w:suppressLineNumbers/>
      <w:spacing w:before="120" w:after="120"/>
    </w:pPr>
    <w:rPr>
      <w:rFonts w:ascii="PT Astra Serif" w:hAnsi="PT Astra Serif"/>
      <w:i/>
      <w:iCs/>
      <w:sz w:val="24"/>
    </w:rPr>
  </w:style>
  <w:style w:type="character" w:customStyle="1" w:styleId="ac">
    <w:name w:val="Нижний колонтитул Знак"/>
    <w:link w:val="Footer"/>
    <w:uiPriority w:val="99"/>
    <w:rsid w:val="00484486"/>
  </w:style>
  <w:style w:type="table" w:styleId="ad">
    <w:name w:val="Table Grid"/>
    <w:uiPriority w:val="59"/>
    <w:rsid w:val="004844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844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844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48448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844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844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844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844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844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844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844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8448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844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8448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8448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8448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8448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8448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8448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8448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8448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8448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8448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8448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8448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8448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8448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8448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844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484486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484486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484486"/>
    <w:rPr>
      <w:sz w:val="18"/>
    </w:rPr>
  </w:style>
  <w:style w:type="character" w:styleId="af1">
    <w:name w:val="footnote reference"/>
    <w:uiPriority w:val="99"/>
    <w:unhideWhenUsed/>
    <w:rsid w:val="0048448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84486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84486"/>
    <w:rPr>
      <w:sz w:val="20"/>
    </w:rPr>
  </w:style>
  <w:style w:type="character" w:styleId="af4">
    <w:name w:val="endnote reference"/>
    <w:uiPriority w:val="99"/>
    <w:semiHidden/>
    <w:unhideWhenUsed/>
    <w:rsid w:val="0048448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84486"/>
    <w:pPr>
      <w:spacing w:after="57"/>
    </w:pPr>
  </w:style>
  <w:style w:type="paragraph" w:styleId="22">
    <w:name w:val="toc 2"/>
    <w:basedOn w:val="a"/>
    <w:next w:val="a"/>
    <w:uiPriority w:val="39"/>
    <w:unhideWhenUsed/>
    <w:rsid w:val="0048448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8448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8448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8448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8448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8448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8448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84486"/>
    <w:pPr>
      <w:spacing w:after="57"/>
      <w:ind w:left="2268"/>
    </w:pPr>
  </w:style>
  <w:style w:type="paragraph" w:styleId="af5">
    <w:name w:val="TOC Heading"/>
    <w:uiPriority w:val="39"/>
    <w:unhideWhenUsed/>
    <w:rsid w:val="00484486"/>
  </w:style>
  <w:style w:type="paragraph" w:styleId="af6">
    <w:name w:val="table of figures"/>
    <w:basedOn w:val="a"/>
    <w:next w:val="a"/>
    <w:uiPriority w:val="99"/>
    <w:unhideWhenUsed/>
    <w:rsid w:val="00484486"/>
  </w:style>
  <w:style w:type="paragraph" w:customStyle="1" w:styleId="11">
    <w:name w:val="Заголовок1"/>
    <w:basedOn w:val="a"/>
    <w:next w:val="af7"/>
    <w:rsid w:val="00484486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7">
    <w:name w:val="Body Text"/>
    <w:basedOn w:val="a"/>
    <w:rsid w:val="00484486"/>
    <w:pPr>
      <w:spacing w:after="140" w:line="276" w:lineRule="auto"/>
    </w:pPr>
  </w:style>
  <w:style w:type="paragraph" w:styleId="af8">
    <w:name w:val="List"/>
    <w:basedOn w:val="af7"/>
    <w:rsid w:val="00484486"/>
    <w:rPr>
      <w:rFonts w:ascii="PT Astra Serif" w:hAnsi="PT Astra Serif"/>
    </w:rPr>
  </w:style>
  <w:style w:type="paragraph" w:customStyle="1" w:styleId="12">
    <w:name w:val="Указатель1"/>
    <w:basedOn w:val="a"/>
    <w:rsid w:val="00484486"/>
    <w:pPr>
      <w:suppressLineNumbers/>
    </w:pPr>
    <w:rPr>
      <w:rFonts w:ascii="PT Astra Serif" w:hAnsi="PT Astra Serif"/>
    </w:rPr>
  </w:style>
  <w:style w:type="paragraph" w:customStyle="1" w:styleId="1444">
    <w:name w:val="Версия сервера генератора печатных документов: 14.44 Версия клиента генератора печа"/>
    <w:rsid w:val="00484486"/>
    <w:pPr>
      <w:widowControl w:val="0"/>
      <w:pBdr>
        <w:between w:val="none" w:sz="0" w:space="0" w:color="000000"/>
      </w:pBdr>
    </w:pPr>
  </w:style>
  <w:style w:type="character" w:styleId="af9">
    <w:name w:val="annotation reference"/>
    <w:uiPriority w:val="99"/>
    <w:semiHidden/>
    <w:unhideWhenUsed/>
    <w:rsid w:val="0048448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84486"/>
    <w:rPr>
      <w:rFonts w:cs="Mangal"/>
      <w:sz w:val="20"/>
      <w:szCs w:val="18"/>
      <w:lang w:val="en-US"/>
    </w:rPr>
  </w:style>
  <w:style w:type="character" w:customStyle="1" w:styleId="afb">
    <w:name w:val="Текст примечания Знак"/>
    <w:link w:val="afa"/>
    <w:uiPriority w:val="99"/>
    <w:semiHidden/>
    <w:rsid w:val="00484486"/>
    <w:rPr>
      <w:rFonts w:ascii="Calibri" w:eastAsia="DejaVu Sans" w:hAnsi="Calibri" w:cs="Mangal"/>
      <w:szCs w:val="18"/>
      <w:lang w:eastAsia="zh-C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84486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484486"/>
    <w:rPr>
      <w:rFonts w:ascii="Calibri" w:eastAsia="DejaVu Sans" w:hAnsi="Calibri" w:cs="Mangal"/>
      <w:b/>
      <w:bCs/>
      <w:szCs w:val="18"/>
      <w:lang w:eastAsia="zh-CN" w:bidi="hi-IN"/>
    </w:rPr>
  </w:style>
  <w:style w:type="paragraph" w:styleId="afe">
    <w:name w:val="Balloon Text"/>
    <w:basedOn w:val="a"/>
    <w:link w:val="aff"/>
    <w:uiPriority w:val="99"/>
    <w:semiHidden/>
    <w:unhideWhenUsed/>
    <w:rsid w:val="00484486"/>
    <w:rPr>
      <w:rFonts w:ascii="Segoe UI" w:hAnsi="Segoe UI" w:cs="Mangal"/>
      <w:sz w:val="18"/>
      <w:szCs w:val="16"/>
      <w:lang w:val="en-US"/>
    </w:rPr>
  </w:style>
  <w:style w:type="character" w:customStyle="1" w:styleId="aff">
    <w:name w:val="Текст выноски Знак"/>
    <w:link w:val="afe"/>
    <w:uiPriority w:val="99"/>
    <w:semiHidden/>
    <w:rsid w:val="00484486"/>
    <w:rPr>
      <w:rFonts w:ascii="Segoe UI" w:eastAsia="DejaVu Sans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qFormat/>
    <w:rsid w:val="0048448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2"/>
    </w:rPr>
  </w:style>
  <w:style w:type="paragraph" w:customStyle="1" w:styleId="TableParagraph">
    <w:name w:val="Table Paragraph"/>
    <w:uiPriority w:val="1"/>
    <w:qFormat/>
    <w:rsid w:val="0048448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484486"/>
    <w:pPr>
      <w:spacing w:before="1"/>
      <w:jc w:val="right"/>
      <w:outlineLvl w:val="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10443</Characters>
  <Application>Microsoft Office Word</Application>
  <DocSecurity>0</DocSecurity>
  <Lines>87</Lines>
  <Paragraphs>24</Paragraphs>
  <ScaleCrop>false</ScaleCrop>
  <Company>minfin AO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minfin user</cp:lastModifiedBy>
  <cp:revision>2</cp:revision>
  <dcterms:created xsi:type="dcterms:W3CDTF">2024-10-29T11:47:00Z</dcterms:created>
  <dcterms:modified xsi:type="dcterms:W3CDTF">2024-10-29T11:47:00Z</dcterms:modified>
  <cp:version>786432</cp:version>
</cp:coreProperties>
</file>