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7D5737">
        <w:rPr>
          <w:b/>
          <w:iCs/>
          <w:sz w:val="24"/>
        </w:rPr>
        <w:t>9</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CC5BB6">
        <w:rPr>
          <w:b/>
          <w:sz w:val="24"/>
          <w:szCs w:val="24"/>
        </w:rPr>
        <w:t>2</w:t>
      </w:r>
      <w:r w:rsidR="007D5737">
        <w:rPr>
          <w:b/>
          <w:sz w:val="24"/>
          <w:szCs w:val="24"/>
        </w:rPr>
        <w:t>1</w:t>
      </w:r>
      <w:r>
        <w:rPr>
          <w:b/>
          <w:sz w:val="24"/>
          <w:szCs w:val="24"/>
        </w:rPr>
        <w:t>»</w:t>
      </w:r>
      <w:r w:rsidR="00DF64AA" w:rsidRPr="00BF55F1">
        <w:rPr>
          <w:b/>
          <w:sz w:val="24"/>
          <w:szCs w:val="24"/>
        </w:rPr>
        <w:t xml:space="preserve"> </w:t>
      </w:r>
      <w:r w:rsidR="007D5737">
        <w:rPr>
          <w:b/>
          <w:sz w:val="24"/>
          <w:szCs w:val="24"/>
        </w:rPr>
        <w:t>мая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7D5737" w:rsidRDefault="007D5737" w:rsidP="007D5737">
            <w:pPr>
              <w:pStyle w:val="a3"/>
              <w:ind w:firstLine="0"/>
              <w:rPr>
                <w:sz w:val="24"/>
                <w:szCs w:val="24"/>
              </w:rPr>
            </w:pPr>
            <w:r w:rsidRPr="007D5737">
              <w:rPr>
                <w:sz w:val="24"/>
                <w:szCs w:val="24"/>
              </w:rPr>
              <w:t>«О проекте облас</w:t>
            </w:r>
            <w:r w:rsidRPr="007D5737">
              <w:rPr>
                <w:sz w:val="24"/>
                <w:szCs w:val="24"/>
              </w:rPr>
              <w:t>т</w:t>
            </w:r>
            <w:r w:rsidRPr="007D5737">
              <w:rPr>
                <w:sz w:val="24"/>
                <w:szCs w:val="24"/>
              </w:rPr>
              <w:t>ного закона «О вн</w:t>
            </w:r>
            <w:r w:rsidRPr="007D5737">
              <w:rPr>
                <w:sz w:val="24"/>
                <w:szCs w:val="24"/>
              </w:rPr>
              <w:t>е</w:t>
            </w:r>
            <w:r w:rsidRPr="007D5737">
              <w:rPr>
                <w:sz w:val="24"/>
                <w:szCs w:val="24"/>
              </w:rPr>
              <w:t>сении изменений и дополнений в обл</w:t>
            </w:r>
            <w:r w:rsidRPr="007D5737">
              <w:rPr>
                <w:sz w:val="24"/>
                <w:szCs w:val="24"/>
              </w:rPr>
              <w:t>а</w:t>
            </w:r>
            <w:r w:rsidRPr="007D5737">
              <w:rPr>
                <w:sz w:val="24"/>
                <w:szCs w:val="24"/>
              </w:rPr>
              <w:t xml:space="preserve">стной закон       «Об областном бюджете на 2015 год и на плановый период 2016 и 2017 годов» </w:t>
            </w:r>
          </w:p>
        </w:tc>
        <w:tc>
          <w:tcPr>
            <w:tcW w:w="1800" w:type="dxa"/>
          </w:tcPr>
          <w:p w:rsidR="003B0DA6" w:rsidRPr="00B659B9" w:rsidRDefault="00702B59" w:rsidP="00B659B9">
            <w:pPr>
              <w:pStyle w:val="a3"/>
              <w:ind w:left="-66" w:firstLine="0"/>
              <w:jc w:val="center"/>
              <w:rPr>
                <w:sz w:val="24"/>
                <w:szCs w:val="24"/>
              </w:rPr>
            </w:pPr>
            <w:r>
              <w:rPr>
                <w:sz w:val="24"/>
                <w:szCs w:val="24"/>
              </w:rPr>
              <w:t>Депутат А.О. Аннин</w:t>
            </w:r>
            <w:r w:rsidR="007D5737">
              <w:rPr>
                <w:sz w:val="24"/>
                <w:szCs w:val="24"/>
              </w:rPr>
              <w:t>/И.В. Годзиш</w:t>
            </w:r>
          </w:p>
        </w:tc>
        <w:tc>
          <w:tcPr>
            <w:tcW w:w="5713" w:type="dxa"/>
          </w:tcPr>
          <w:p w:rsidR="003B0DA6" w:rsidRPr="007D5737" w:rsidRDefault="007D5737" w:rsidP="007D5737">
            <w:pPr>
              <w:pStyle w:val="a3"/>
              <w:ind w:firstLine="0"/>
              <w:rPr>
                <w:bCs/>
                <w:sz w:val="24"/>
                <w:szCs w:val="24"/>
              </w:rPr>
            </w:pPr>
            <w:r>
              <w:rPr>
                <w:sz w:val="24"/>
                <w:szCs w:val="24"/>
              </w:rPr>
              <w:t>Обсуждение в</w:t>
            </w:r>
            <w:r w:rsidRPr="007D5737">
              <w:rPr>
                <w:sz w:val="24"/>
                <w:szCs w:val="24"/>
              </w:rPr>
              <w:t xml:space="preserve"> части предлагаемых изменений на 2015 год по главному распорядителю бюджетных средств  - министерству ТЭК и ЖКХ Архангельской области</w:t>
            </w:r>
            <w:r>
              <w:rPr>
                <w:sz w:val="24"/>
                <w:szCs w:val="24"/>
              </w:rPr>
              <w:t>.</w:t>
            </w:r>
          </w:p>
        </w:tc>
        <w:tc>
          <w:tcPr>
            <w:tcW w:w="1985" w:type="dxa"/>
          </w:tcPr>
          <w:p w:rsidR="003B0DA6" w:rsidRPr="00A37199" w:rsidRDefault="00702B59" w:rsidP="005366CD">
            <w:pPr>
              <w:pStyle w:val="a3"/>
              <w:ind w:left="-76" w:right="-56" w:firstLine="0"/>
              <w:jc w:val="center"/>
              <w:rPr>
                <w:sz w:val="23"/>
                <w:szCs w:val="23"/>
              </w:rPr>
            </w:pPr>
            <w:r>
              <w:rPr>
                <w:sz w:val="23"/>
                <w:szCs w:val="23"/>
              </w:rPr>
              <w:t>План</w:t>
            </w:r>
          </w:p>
        </w:tc>
        <w:tc>
          <w:tcPr>
            <w:tcW w:w="2835" w:type="dxa"/>
          </w:tcPr>
          <w:p w:rsidR="00920E6A" w:rsidRPr="007D5737" w:rsidRDefault="007D5737" w:rsidP="007D5737">
            <w:pPr>
              <w:pStyle w:val="af3"/>
              <w:shd w:val="clear" w:color="auto" w:fill="FFFFFF"/>
              <w:spacing w:before="0" w:beforeAutospacing="0" w:after="0" w:afterAutospacing="0"/>
              <w:jc w:val="both"/>
            </w:pPr>
            <w:r w:rsidRPr="007D5737">
              <w:rPr>
                <w:color w:val="000000"/>
              </w:rPr>
              <w:t>Комитет РЕШИЛ:</w:t>
            </w:r>
            <w:r w:rsidRPr="007D5737">
              <w:t xml:space="preserve"> </w:t>
            </w:r>
          </w:p>
          <w:p w:rsidR="007D5737" w:rsidRPr="007D5737" w:rsidRDefault="007D5737" w:rsidP="007D5737">
            <w:pPr>
              <w:autoSpaceDE w:val="0"/>
              <w:autoSpaceDN w:val="0"/>
              <w:adjustRightInd w:val="0"/>
              <w:ind w:firstLine="709"/>
              <w:jc w:val="both"/>
            </w:pPr>
            <w:r w:rsidRPr="007D5737">
              <w:t>1) Внести на ра</w:t>
            </w:r>
            <w:r w:rsidRPr="007D5737">
              <w:t>с</w:t>
            </w:r>
            <w:r w:rsidRPr="007D5737">
              <w:t>смотрение 17- й сессии областного Собрания в порядке законодательной инициативы депутатов областного Собрания А.О. Аннина, В.П. Поп</w:t>
            </w:r>
            <w:r w:rsidRPr="007D5737">
              <w:t>о</w:t>
            </w:r>
            <w:r w:rsidRPr="007D5737">
              <w:t>вой, В.Н. Зари поправку к проекту постановления о принятии областного закона в части рекоме</w:t>
            </w:r>
            <w:r w:rsidRPr="007D5737">
              <w:t>н</w:t>
            </w:r>
            <w:r w:rsidRPr="007D5737">
              <w:t>дации Правительству Архангельской области</w:t>
            </w:r>
            <w:r>
              <w:t>:</w:t>
            </w:r>
            <w:r w:rsidRPr="007D5737">
              <w:t xml:space="preserve">  </w:t>
            </w:r>
            <w:r>
              <w:t>-</w:t>
            </w:r>
            <w:r w:rsidRPr="007D5737">
              <w:t xml:space="preserve"> в</w:t>
            </w:r>
            <w:r w:rsidRPr="007D5737">
              <w:rPr>
                <w:bCs/>
              </w:rPr>
              <w:t xml:space="preserve"> целях безаварийного прохождения отопител</w:t>
            </w:r>
            <w:r w:rsidRPr="007D5737">
              <w:rPr>
                <w:bCs/>
              </w:rPr>
              <w:t>ь</w:t>
            </w:r>
            <w:r w:rsidRPr="007D5737">
              <w:rPr>
                <w:bCs/>
              </w:rPr>
              <w:t>ного периода 2015 – 2016 годов, для закупки и доставки топлива в п</w:t>
            </w:r>
            <w:r w:rsidRPr="007D5737">
              <w:rPr>
                <w:bCs/>
              </w:rPr>
              <w:t>е</w:t>
            </w:r>
            <w:r w:rsidRPr="007D5737">
              <w:rPr>
                <w:bCs/>
              </w:rPr>
              <w:t>риод транспортной до</w:t>
            </w:r>
            <w:r w:rsidRPr="007D5737">
              <w:rPr>
                <w:bCs/>
              </w:rPr>
              <w:t>с</w:t>
            </w:r>
            <w:r w:rsidRPr="007D5737">
              <w:rPr>
                <w:bCs/>
              </w:rPr>
              <w:t>тупности, для предо</w:t>
            </w:r>
            <w:r w:rsidRPr="007D5737">
              <w:rPr>
                <w:bCs/>
              </w:rPr>
              <w:t>т</w:t>
            </w:r>
            <w:r w:rsidRPr="007D5737">
              <w:rPr>
                <w:bCs/>
              </w:rPr>
              <w:t>вращения аварийных с</w:t>
            </w:r>
            <w:r w:rsidRPr="007D5737">
              <w:rPr>
                <w:bCs/>
              </w:rPr>
              <w:t>и</w:t>
            </w:r>
            <w:r w:rsidRPr="007D5737">
              <w:rPr>
                <w:bCs/>
              </w:rPr>
              <w:t>туаций, создания норм</w:t>
            </w:r>
            <w:r w:rsidRPr="007D5737">
              <w:rPr>
                <w:bCs/>
              </w:rPr>
              <w:t>а</w:t>
            </w:r>
            <w:r w:rsidRPr="007D5737">
              <w:rPr>
                <w:bCs/>
              </w:rPr>
              <w:t>тивных запасов топлива и выделения необход</w:t>
            </w:r>
            <w:r w:rsidRPr="007D5737">
              <w:rPr>
                <w:bCs/>
              </w:rPr>
              <w:t>и</w:t>
            </w:r>
            <w:r w:rsidRPr="007D5737">
              <w:rPr>
                <w:bCs/>
              </w:rPr>
              <w:lastRenderedPageBreak/>
              <w:t>мого объема авансовых перечислений субсидии на возмещение недоп</w:t>
            </w:r>
            <w:r w:rsidRPr="007D5737">
              <w:rPr>
                <w:bCs/>
              </w:rPr>
              <w:t>о</w:t>
            </w:r>
            <w:r w:rsidRPr="007D5737">
              <w:rPr>
                <w:bCs/>
              </w:rPr>
              <w:t>лученных доходов, во</w:t>
            </w:r>
            <w:r w:rsidRPr="007D5737">
              <w:rPr>
                <w:bCs/>
              </w:rPr>
              <w:t>з</w:t>
            </w:r>
            <w:r w:rsidRPr="007D5737">
              <w:rPr>
                <w:bCs/>
              </w:rPr>
              <w:t>никающих в результате государственного рег</w:t>
            </w:r>
            <w:r w:rsidRPr="007D5737">
              <w:rPr>
                <w:bCs/>
              </w:rPr>
              <w:t>у</w:t>
            </w:r>
            <w:r w:rsidRPr="007D5737">
              <w:rPr>
                <w:bCs/>
              </w:rPr>
              <w:t>лирования тарифов на тепловую энергию, п</w:t>
            </w:r>
            <w:r w:rsidRPr="007D5737">
              <w:rPr>
                <w:bCs/>
              </w:rPr>
              <w:t>о</w:t>
            </w:r>
            <w:r w:rsidRPr="007D5737">
              <w:rPr>
                <w:bCs/>
              </w:rPr>
              <w:t>ставляемую населению и потребителям, прира</w:t>
            </w:r>
            <w:r w:rsidRPr="007D5737">
              <w:rPr>
                <w:bCs/>
              </w:rPr>
              <w:t>в</w:t>
            </w:r>
            <w:r w:rsidRPr="007D5737">
              <w:rPr>
                <w:bCs/>
              </w:rPr>
              <w:t>ненным к населению, на нужды теплоснабжения, и субсидии на возмещ</w:t>
            </w:r>
            <w:r w:rsidRPr="007D5737">
              <w:rPr>
                <w:bCs/>
              </w:rPr>
              <w:t>е</w:t>
            </w:r>
            <w:r w:rsidRPr="007D5737">
              <w:rPr>
                <w:bCs/>
              </w:rPr>
              <w:t>ние недополученных д</w:t>
            </w:r>
            <w:r w:rsidRPr="007D5737">
              <w:rPr>
                <w:bCs/>
              </w:rPr>
              <w:t>о</w:t>
            </w:r>
            <w:r w:rsidRPr="007D5737">
              <w:rPr>
                <w:bCs/>
              </w:rPr>
              <w:t>ходов, возникающих в результате государс</w:t>
            </w:r>
            <w:r w:rsidRPr="007D5737">
              <w:rPr>
                <w:bCs/>
              </w:rPr>
              <w:t>т</w:t>
            </w:r>
            <w:r w:rsidRPr="007D5737">
              <w:rPr>
                <w:bCs/>
              </w:rPr>
              <w:t>венного регулирования тарифов на электрич</w:t>
            </w:r>
            <w:r w:rsidRPr="007D5737">
              <w:rPr>
                <w:bCs/>
              </w:rPr>
              <w:t>е</w:t>
            </w:r>
            <w:r w:rsidRPr="007D5737">
              <w:rPr>
                <w:bCs/>
              </w:rPr>
              <w:t>скую энергию, отпу</w:t>
            </w:r>
            <w:r w:rsidRPr="007D5737">
              <w:rPr>
                <w:bCs/>
              </w:rPr>
              <w:t>с</w:t>
            </w:r>
            <w:r w:rsidRPr="007D5737">
              <w:rPr>
                <w:bCs/>
              </w:rPr>
              <w:t>каемую в технологич</w:t>
            </w:r>
            <w:r w:rsidRPr="007D5737">
              <w:rPr>
                <w:bCs/>
              </w:rPr>
              <w:t>е</w:t>
            </w:r>
            <w:r w:rsidRPr="007D5737">
              <w:rPr>
                <w:bCs/>
              </w:rPr>
              <w:t>ски изолированных те</w:t>
            </w:r>
            <w:r w:rsidRPr="007D5737">
              <w:rPr>
                <w:bCs/>
              </w:rPr>
              <w:t>р</w:t>
            </w:r>
            <w:r w:rsidRPr="007D5737">
              <w:rPr>
                <w:bCs/>
              </w:rPr>
              <w:t>риториальных энергет</w:t>
            </w:r>
            <w:r w:rsidRPr="007D5737">
              <w:rPr>
                <w:bCs/>
              </w:rPr>
              <w:t>и</w:t>
            </w:r>
            <w:r w:rsidRPr="007D5737">
              <w:rPr>
                <w:bCs/>
              </w:rPr>
              <w:t xml:space="preserve">ческих системах, </w:t>
            </w:r>
            <w:r w:rsidRPr="007D5737">
              <w:t>внести в порядке законодател</w:t>
            </w:r>
            <w:r w:rsidRPr="007D5737">
              <w:t>ь</w:t>
            </w:r>
            <w:r w:rsidRPr="007D5737">
              <w:t>ной инициативы на 18-ю сессию Архангельского областного Собрания депутатов (24 – 25 июня 2015 года) проект обл</w:t>
            </w:r>
            <w:r w:rsidRPr="007D5737">
              <w:t>а</w:t>
            </w:r>
            <w:r w:rsidRPr="007D5737">
              <w:t>стного закона о восст</w:t>
            </w:r>
            <w:r w:rsidRPr="007D5737">
              <w:t>а</w:t>
            </w:r>
            <w:r w:rsidRPr="007D5737">
              <w:t>новлении ассигнований областного бюджета на 2015 год по названным субсидиям до необход</w:t>
            </w:r>
            <w:r w:rsidRPr="007D5737">
              <w:t>и</w:t>
            </w:r>
            <w:r w:rsidRPr="007D5737">
              <w:t>мой годовой потребн</w:t>
            </w:r>
            <w:r w:rsidRPr="007D5737">
              <w:t>о</w:t>
            </w:r>
            <w:r w:rsidRPr="007D5737">
              <w:t>сти;</w:t>
            </w:r>
          </w:p>
          <w:p w:rsidR="007D5737" w:rsidRDefault="007D5737" w:rsidP="007D5737">
            <w:pPr>
              <w:autoSpaceDE w:val="0"/>
              <w:autoSpaceDN w:val="0"/>
              <w:adjustRightInd w:val="0"/>
              <w:jc w:val="both"/>
              <w:outlineLvl w:val="1"/>
            </w:pPr>
            <w:r>
              <w:t>-</w:t>
            </w:r>
            <w:r w:rsidRPr="007D5737">
              <w:t xml:space="preserve"> внести в порядке зак</w:t>
            </w:r>
            <w:r w:rsidRPr="007D5737">
              <w:t>о</w:t>
            </w:r>
            <w:r w:rsidRPr="007D5737">
              <w:lastRenderedPageBreak/>
              <w:t>нодательной инициативы на 20-ю сессию Арха</w:t>
            </w:r>
            <w:r w:rsidRPr="007D5737">
              <w:t>н</w:t>
            </w:r>
            <w:r w:rsidRPr="007D5737">
              <w:t>гельского областного Собрания депутатов (21 – 22 октября 2015 года) проект областного зак</w:t>
            </w:r>
            <w:r w:rsidRPr="007D5737">
              <w:t>о</w:t>
            </w:r>
            <w:r w:rsidRPr="007D5737">
              <w:t>на о восстановлении а</w:t>
            </w:r>
            <w:r w:rsidRPr="007D5737">
              <w:t>с</w:t>
            </w:r>
            <w:r w:rsidRPr="007D5737">
              <w:t xml:space="preserve">сигнований областного бюджета на 2015 год по субсидии </w:t>
            </w:r>
            <w:r w:rsidRPr="007D5737">
              <w:rPr>
                <w:bCs/>
              </w:rPr>
              <w:t>на возмещение недополученных дох</w:t>
            </w:r>
            <w:r w:rsidRPr="007D5737">
              <w:rPr>
                <w:bCs/>
              </w:rPr>
              <w:t>о</w:t>
            </w:r>
            <w:r w:rsidRPr="007D5737">
              <w:rPr>
                <w:bCs/>
              </w:rPr>
              <w:t>дов, возникающих в р</w:t>
            </w:r>
            <w:r w:rsidRPr="007D5737">
              <w:rPr>
                <w:bCs/>
              </w:rPr>
              <w:t>е</w:t>
            </w:r>
            <w:r w:rsidRPr="007D5737">
              <w:rPr>
                <w:bCs/>
              </w:rPr>
              <w:t>зультате государстве</w:t>
            </w:r>
            <w:r w:rsidRPr="007D5737">
              <w:rPr>
                <w:bCs/>
              </w:rPr>
              <w:t>н</w:t>
            </w:r>
            <w:r w:rsidRPr="007D5737">
              <w:rPr>
                <w:bCs/>
              </w:rPr>
              <w:t>ного регулирования т</w:t>
            </w:r>
            <w:r w:rsidRPr="007D5737">
              <w:rPr>
                <w:bCs/>
              </w:rPr>
              <w:t>а</w:t>
            </w:r>
            <w:r w:rsidRPr="007D5737">
              <w:rPr>
                <w:bCs/>
              </w:rPr>
              <w:t>рифов на питьевую воду (питьевое водоснабж</w:t>
            </w:r>
            <w:r w:rsidRPr="007D5737">
              <w:rPr>
                <w:bCs/>
              </w:rPr>
              <w:t>е</w:t>
            </w:r>
            <w:r w:rsidRPr="007D5737">
              <w:rPr>
                <w:bCs/>
              </w:rPr>
              <w:t>ние), техническую воду и услуги водоотведения, на горячую воду (гор</w:t>
            </w:r>
            <w:r w:rsidRPr="007D5737">
              <w:rPr>
                <w:bCs/>
              </w:rPr>
              <w:t>я</w:t>
            </w:r>
            <w:r w:rsidRPr="007D5737">
              <w:rPr>
                <w:bCs/>
              </w:rPr>
              <w:t>чее водоснабжение) в закрытой системе гор</w:t>
            </w:r>
            <w:r w:rsidRPr="007D5737">
              <w:rPr>
                <w:bCs/>
              </w:rPr>
              <w:t>я</w:t>
            </w:r>
            <w:r w:rsidRPr="007D5737">
              <w:rPr>
                <w:bCs/>
              </w:rPr>
              <w:t>чего водоснабжения (в части компонента на х</w:t>
            </w:r>
            <w:r w:rsidRPr="007D5737">
              <w:rPr>
                <w:bCs/>
              </w:rPr>
              <w:t>о</w:t>
            </w:r>
            <w:r w:rsidRPr="007D5737">
              <w:rPr>
                <w:bCs/>
              </w:rPr>
              <w:t>лодную воду) для нас</w:t>
            </w:r>
            <w:r w:rsidRPr="007D5737">
              <w:rPr>
                <w:bCs/>
              </w:rPr>
              <w:t>е</w:t>
            </w:r>
            <w:r w:rsidRPr="007D5737">
              <w:rPr>
                <w:bCs/>
              </w:rPr>
              <w:t>ления и потребителей, приравненных к насел</w:t>
            </w:r>
            <w:r w:rsidRPr="007D5737">
              <w:rPr>
                <w:bCs/>
              </w:rPr>
              <w:t>е</w:t>
            </w:r>
            <w:r w:rsidRPr="007D5737">
              <w:rPr>
                <w:bCs/>
              </w:rPr>
              <w:t>нию,</w:t>
            </w:r>
            <w:r w:rsidRPr="007D5737">
              <w:t xml:space="preserve"> до необходимой годовой потребности.</w:t>
            </w:r>
          </w:p>
          <w:p w:rsidR="00067EE7" w:rsidRDefault="007D5737" w:rsidP="00067EE7">
            <w:pPr>
              <w:autoSpaceDE w:val="0"/>
              <w:autoSpaceDN w:val="0"/>
              <w:adjustRightInd w:val="0"/>
              <w:jc w:val="both"/>
            </w:pPr>
            <w:r>
              <w:t>2) Рекомендовать мин</w:t>
            </w:r>
            <w:r>
              <w:t>и</w:t>
            </w:r>
            <w:r>
              <w:t>стерству ТЭК и ЖКХ Архангельской области</w:t>
            </w:r>
            <w:r w:rsidR="00067EE7">
              <w:t>:</w:t>
            </w:r>
            <w:r>
              <w:t xml:space="preserve"> </w:t>
            </w:r>
            <w:r w:rsidR="00067EE7">
              <w:t xml:space="preserve">- </w:t>
            </w:r>
            <w:r>
              <w:t>у</w:t>
            </w:r>
            <w:r w:rsidR="00067EE7">
              <w:t>твердить план пров</w:t>
            </w:r>
            <w:r w:rsidR="00067EE7">
              <w:t>е</w:t>
            </w:r>
            <w:r w:rsidR="00067EE7">
              <w:t>дения семинаров с м</w:t>
            </w:r>
            <w:r w:rsidR="00067EE7">
              <w:t>у</w:t>
            </w:r>
            <w:r w:rsidR="00067EE7">
              <w:t>ниципальными образ</w:t>
            </w:r>
            <w:r w:rsidR="00067EE7">
              <w:t>о</w:t>
            </w:r>
            <w:r w:rsidR="00067EE7">
              <w:t xml:space="preserve">ваниями Архангельской области по реализации федерального закона от </w:t>
            </w:r>
            <w:r w:rsidR="00067EE7">
              <w:lastRenderedPageBreak/>
              <w:t>21.07.2005 № 115-ФЗ «О концессионных согл</w:t>
            </w:r>
            <w:r w:rsidR="00067EE7">
              <w:t>а</w:t>
            </w:r>
            <w:r w:rsidR="00067EE7">
              <w:t>шениях»;</w:t>
            </w:r>
          </w:p>
          <w:p w:rsidR="00067EE7" w:rsidRDefault="00067EE7" w:rsidP="00067EE7">
            <w:pPr>
              <w:autoSpaceDE w:val="0"/>
              <w:autoSpaceDN w:val="0"/>
              <w:adjustRightInd w:val="0"/>
              <w:jc w:val="both"/>
            </w:pPr>
            <w:r>
              <w:t>- направить в адрес к</w:t>
            </w:r>
            <w:r>
              <w:t>о</w:t>
            </w:r>
            <w:r>
              <w:t>митета в срок до 29 мая 2015 года предложения (в случае наличия) по внесению изменений в федеральный закон  от 21.07.2005 № 115-ФЗ «О концессионных согл</w:t>
            </w:r>
            <w:r>
              <w:t>а</w:t>
            </w:r>
            <w:r>
              <w:t>шениях».</w:t>
            </w:r>
          </w:p>
          <w:p w:rsidR="007D5737" w:rsidRPr="007D5737" w:rsidRDefault="00067EE7" w:rsidP="0059714C">
            <w:pPr>
              <w:autoSpaceDE w:val="0"/>
              <w:autoSpaceDN w:val="0"/>
              <w:adjustRightInd w:val="0"/>
              <w:jc w:val="both"/>
              <w:rPr>
                <w:bCs/>
              </w:rPr>
            </w:pPr>
            <w:r>
              <w:t>3) Комитету областного Собрания по жилищной политике и коммунал</w:t>
            </w:r>
            <w:r>
              <w:t>ь</w:t>
            </w:r>
            <w:r>
              <w:t xml:space="preserve">ному хозяйству </w:t>
            </w:r>
            <w:r w:rsidR="0059714C">
              <w:t>провести в июне т.г. заседание к</w:t>
            </w:r>
            <w:r w:rsidR="0059714C">
              <w:t>о</w:t>
            </w:r>
            <w:r w:rsidR="0059714C">
              <w:t>митета по вопросу о ре</w:t>
            </w:r>
            <w:r w:rsidR="0059714C">
              <w:t>а</w:t>
            </w:r>
            <w:r w:rsidR="0059714C">
              <w:t>лизации мероприятий по переселению граждан из аварийного жилья с уч</w:t>
            </w:r>
            <w:r w:rsidR="0059714C">
              <w:t>е</w:t>
            </w:r>
            <w:r w:rsidR="0059714C">
              <w:t>том предусмотрения н</w:t>
            </w:r>
            <w:r w:rsidR="0059714C">
              <w:t>е</w:t>
            </w:r>
            <w:r w:rsidR="0059714C">
              <w:t>обходимого областного софинансирования для участия области в мер</w:t>
            </w:r>
            <w:r w:rsidR="0059714C">
              <w:t>о</w:t>
            </w:r>
            <w:r w:rsidR="0059714C">
              <w:t>приятиях Фонда соде</w:t>
            </w:r>
            <w:r w:rsidR="0059714C">
              <w:t>й</w:t>
            </w:r>
            <w:r w:rsidR="0059714C">
              <w:t>ствия реформированию ЖКХ.</w:t>
            </w:r>
          </w:p>
          <w:p w:rsidR="007D5737" w:rsidRPr="007D5737" w:rsidRDefault="007D5737" w:rsidP="007D5737">
            <w:pPr>
              <w:pStyle w:val="af3"/>
              <w:shd w:val="clear" w:color="auto" w:fill="FFFFFF"/>
              <w:spacing w:before="0" w:beforeAutospacing="0" w:after="0" w:afterAutospacing="0"/>
              <w:jc w:val="both"/>
            </w:pP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B3" w:rsidRDefault="00BB45B3">
      <w:r>
        <w:separator/>
      </w:r>
    </w:p>
  </w:endnote>
  <w:endnote w:type="continuationSeparator" w:id="0">
    <w:p w:rsidR="00BB45B3" w:rsidRDefault="00BB4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B3" w:rsidRDefault="00BB45B3">
      <w:r>
        <w:separator/>
      </w:r>
    </w:p>
  </w:footnote>
  <w:footnote w:type="continuationSeparator" w:id="0">
    <w:p w:rsidR="00BB45B3" w:rsidRDefault="00BB4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CC4F6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CC4F6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CC5F4D">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063A0"/>
    <w:rsid w:val="00221BE8"/>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C7EE5"/>
    <w:rsid w:val="006D0F56"/>
    <w:rsid w:val="006D2613"/>
    <w:rsid w:val="006D49A1"/>
    <w:rsid w:val="006D61B8"/>
    <w:rsid w:val="006E3212"/>
    <w:rsid w:val="006E6B5A"/>
    <w:rsid w:val="006F2E51"/>
    <w:rsid w:val="006F49C8"/>
    <w:rsid w:val="006F4C64"/>
    <w:rsid w:val="006F64E6"/>
    <w:rsid w:val="006F6CC3"/>
    <w:rsid w:val="00700D58"/>
    <w:rsid w:val="00701A45"/>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D5737"/>
    <w:rsid w:val="007E27B8"/>
    <w:rsid w:val="007E45A7"/>
    <w:rsid w:val="007F55B5"/>
    <w:rsid w:val="008068CD"/>
    <w:rsid w:val="00816D7A"/>
    <w:rsid w:val="00821007"/>
    <w:rsid w:val="0082568E"/>
    <w:rsid w:val="00832AD0"/>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1AC1"/>
    <w:rsid w:val="009123B9"/>
    <w:rsid w:val="00913E9A"/>
    <w:rsid w:val="009200F4"/>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414A"/>
    <w:rsid w:val="009D4500"/>
    <w:rsid w:val="009D5F9F"/>
    <w:rsid w:val="009D7309"/>
    <w:rsid w:val="009E4157"/>
    <w:rsid w:val="009E4B88"/>
    <w:rsid w:val="009E701E"/>
    <w:rsid w:val="009F3C0E"/>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850"/>
    <w:rsid w:val="00C4661A"/>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4F68"/>
    <w:rsid w:val="00CC5BB6"/>
    <w:rsid w:val="00CC5F4D"/>
    <w:rsid w:val="00CD3BCC"/>
    <w:rsid w:val="00CD5C41"/>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3B339-1C89-4B22-ADC4-E40293A5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3053</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2015-05-22T07:44:00Z</dcterms:created>
  <dcterms:modified xsi:type="dcterms:W3CDTF">2015-05-22T07:44:00Z</dcterms:modified>
</cp:coreProperties>
</file>