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241E3A">
        <w:rPr>
          <w:b/>
          <w:iCs/>
          <w:sz w:val="24"/>
        </w:rPr>
        <w:t>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D92768" w:rsidRPr="002E551F" w:rsidRDefault="00D92768" w:rsidP="008A32AC">
      <w:pPr>
        <w:pStyle w:val="a3"/>
        <w:ind w:firstLine="0"/>
        <w:jc w:val="center"/>
        <w:rPr>
          <w:b/>
          <w:i/>
          <w:iCs/>
          <w:sz w:val="24"/>
        </w:rPr>
      </w:pPr>
      <w:r>
        <w:rPr>
          <w:b/>
          <w:iCs/>
          <w:sz w:val="24"/>
        </w:rPr>
        <w:t>(</w:t>
      </w:r>
      <w:r w:rsidR="009D6308">
        <w:rPr>
          <w:b/>
          <w:iCs/>
          <w:sz w:val="24"/>
        </w:rPr>
        <w:t>расширен</w:t>
      </w:r>
      <w:r>
        <w:rPr>
          <w:b/>
          <w:iCs/>
          <w:sz w:val="24"/>
        </w:rPr>
        <w:t>ное заседание)</w:t>
      </w:r>
    </w:p>
    <w:p w:rsidR="002E551F" w:rsidRDefault="001A31B4" w:rsidP="008A32AC">
      <w:pPr>
        <w:pStyle w:val="a3"/>
        <w:ind w:firstLine="11700"/>
        <w:rPr>
          <w:b/>
          <w:sz w:val="24"/>
          <w:szCs w:val="24"/>
        </w:rPr>
      </w:pPr>
      <w:r>
        <w:rPr>
          <w:b/>
          <w:sz w:val="24"/>
          <w:szCs w:val="24"/>
        </w:rPr>
        <w:t>«</w:t>
      </w:r>
      <w:r w:rsidR="00241E3A">
        <w:rPr>
          <w:b/>
          <w:sz w:val="24"/>
          <w:szCs w:val="24"/>
        </w:rPr>
        <w:t>25</w:t>
      </w:r>
      <w:r>
        <w:rPr>
          <w:b/>
          <w:sz w:val="24"/>
          <w:szCs w:val="24"/>
        </w:rPr>
        <w:t>»</w:t>
      </w:r>
      <w:r w:rsidR="00DF64AA" w:rsidRPr="00BF55F1">
        <w:rPr>
          <w:b/>
          <w:sz w:val="24"/>
          <w:szCs w:val="24"/>
        </w:rPr>
        <w:t xml:space="preserve"> </w:t>
      </w:r>
      <w:r w:rsidR="003235F6">
        <w:rPr>
          <w:b/>
          <w:sz w:val="24"/>
          <w:szCs w:val="24"/>
        </w:rPr>
        <w:t>мая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430"/>
        <w:gridCol w:w="1984"/>
        <w:gridCol w:w="3119"/>
      </w:tblGrid>
      <w:tr w:rsidR="008A32AC" w:rsidTr="00241E3A">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30"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4"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119"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241E3A">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30" w:type="dxa"/>
          </w:tcPr>
          <w:p w:rsidR="0036256D" w:rsidRPr="00EE4528" w:rsidRDefault="002E551F" w:rsidP="005366CD">
            <w:pPr>
              <w:widowControl w:val="0"/>
              <w:autoSpaceDE w:val="0"/>
              <w:autoSpaceDN w:val="0"/>
              <w:adjustRightInd w:val="0"/>
              <w:ind w:firstLine="708"/>
              <w:jc w:val="center"/>
            </w:pPr>
            <w:r>
              <w:t>4</w:t>
            </w:r>
          </w:p>
        </w:tc>
        <w:tc>
          <w:tcPr>
            <w:tcW w:w="1984" w:type="dxa"/>
          </w:tcPr>
          <w:p w:rsidR="00B27A37" w:rsidRPr="005366CD" w:rsidRDefault="002E551F" w:rsidP="005366CD">
            <w:pPr>
              <w:pStyle w:val="a3"/>
              <w:ind w:left="-76" w:right="-56" w:firstLine="0"/>
              <w:jc w:val="center"/>
              <w:rPr>
                <w:sz w:val="20"/>
              </w:rPr>
            </w:pPr>
            <w:r w:rsidRPr="005366CD">
              <w:rPr>
                <w:sz w:val="20"/>
              </w:rPr>
              <w:t>5</w:t>
            </w:r>
          </w:p>
        </w:tc>
        <w:tc>
          <w:tcPr>
            <w:tcW w:w="3119"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241E3A">
        <w:trPr>
          <w:trHeight w:val="854"/>
        </w:trPr>
        <w:tc>
          <w:tcPr>
            <w:tcW w:w="588" w:type="dxa"/>
          </w:tcPr>
          <w:p w:rsidR="003B0DA6" w:rsidRPr="00C174EF" w:rsidRDefault="003B0DA6" w:rsidP="005366CD">
            <w:pPr>
              <w:pStyle w:val="a3"/>
              <w:ind w:firstLine="0"/>
              <w:jc w:val="center"/>
              <w:rPr>
                <w:sz w:val="23"/>
                <w:szCs w:val="23"/>
              </w:rPr>
            </w:pPr>
            <w:r w:rsidRPr="00C174EF">
              <w:rPr>
                <w:sz w:val="23"/>
                <w:szCs w:val="23"/>
              </w:rPr>
              <w:t>1.</w:t>
            </w:r>
          </w:p>
        </w:tc>
        <w:tc>
          <w:tcPr>
            <w:tcW w:w="2355" w:type="dxa"/>
          </w:tcPr>
          <w:p w:rsidR="00241E3A" w:rsidRPr="00241E3A" w:rsidRDefault="00241E3A" w:rsidP="00241E3A">
            <w:pPr>
              <w:autoSpaceDE w:val="0"/>
              <w:autoSpaceDN w:val="0"/>
              <w:adjustRightInd w:val="0"/>
              <w:jc w:val="both"/>
              <w:rPr>
                <w:color w:val="353535"/>
                <w:szCs w:val="28"/>
              </w:rPr>
            </w:pPr>
            <w:r w:rsidRPr="00241E3A">
              <w:rPr>
                <w:color w:val="353535"/>
                <w:szCs w:val="28"/>
              </w:rPr>
              <w:t>«</w:t>
            </w:r>
            <w:r w:rsidRPr="00241E3A">
              <w:rPr>
                <w:szCs w:val="28"/>
              </w:rPr>
              <w:t>Об информации ОАО «Архангел</w:t>
            </w:r>
            <w:r w:rsidRPr="00241E3A">
              <w:rPr>
                <w:szCs w:val="28"/>
              </w:rPr>
              <w:t>ь</w:t>
            </w:r>
            <w:r w:rsidRPr="00241E3A">
              <w:rPr>
                <w:szCs w:val="28"/>
              </w:rPr>
              <w:t>ская областная энергетическая компания» о де</w:t>
            </w:r>
            <w:r w:rsidRPr="00241E3A">
              <w:rPr>
                <w:szCs w:val="28"/>
              </w:rPr>
              <w:t>я</w:t>
            </w:r>
            <w:r w:rsidRPr="00241E3A">
              <w:rPr>
                <w:szCs w:val="28"/>
              </w:rPr>
              <w:t>тельности в 2016 году и планиров</w:t>
            </w:r>
            <w:r w:rsidRPr="00241E3A">
              <w:rPr>
                <w:szCs w:val="28"/>
              </w:rPr>
              <w:t>а</w:t>
            </w:r>
            <w:r w:rsidRPr="00241E3A">
              <w:rPr>
                <w:szCs w:val="28"/>
              </w:rPr>
              <w:t>нии на среднесро</w:t>
            </w:r>
            <w:r w:rsidRPr="00241E3A">
              <w:rPr>
                <w:szCs w:val="28"/>
              </w:rPr>
              <w:t>ч</w:t>
            </w:r>
            <w:r w:rsidRPr="00241E3A">
              <w:rPr>
                <w:szCs w:val="28"/>
              </w:rPr>
              <w:t>ную перспективу»</w:t>
            </w:r>
          </w:p>
          <w:p w:rsidR="008A1875" w:rsidRPr="00C174EF" w:rsidRDefault="008A1875" w:rsidP="00241E3A">
            <w:pPr>
              <w:pStyle w:val="a3"/>
              <w:ind w:firstLine="0"/>
              <w:rPr>
                <w:sz w:val="23"/>
                <w:szCs w:val="23"/>
              </w:rPr>
            </w:pPr>
          </w:p>
        </w:tc>
        <w:tc>
          <w:tcPr>
            <w:tcW w:w="1800" w:type="dxa"/>
          </w:tcPr>
          <w:p w:rsidR="00241E3A" w:rsidRDefault="00241E3A" w:rsidP="00D92768">
            <w:pPr>
              <w:pStyle w:val="a3"/>
              <w:ind w:left="-66" w:firstLine="0"/>
              <w:jc w:val="center"/>
              <w:rPr>
                <w:sz w:val="23"/>
                <w:szCs w:val="23"/>
              </w:rPr>
            </w:pPr>
            <w:r>
              <w:rPr>
                <w:sz w:val="23"/>
                <w:szCs w:val="23"/>
              </w:rPr>
              <w:t>А.О. Аннин,</w:t>
            </w:r>
          </w:p>
          <w:p w:rsidR="008A1875" w:rsidRPr="00C174EF" w:rsidRDefault="00D92768" w:rsidP="00241E3A">
            <w:pPr>
              <w:pStyle w:val="a3"/>
              <w:ind w:left="-66" w:firstLine="0"/>
              <w:jc w:val="center"/>
              <w:rPr>
                <w:sz w:val="23"/>
                <w:szCs w:val="23"/>
              </w:rPr>
            </w:pPr>
            <w:r w:rsidRPr="00C174EF">
              <w:rPr>
                <w:sz w:val="23"/>
                <w:szCs w:val="23"/>
              </w:rPr>
              <w:t>В.Н. Заря</w:t>
            </w:r>
          </w:p>
        </w:tc>
        <w:tc>
          <w:tcPr>
            <w:tcW w:w="5430" w:type="dxa"/>
          </w:tcPr>
          <w:p w:rsidR="00D92768" w:rsidRDefault="00241E3A" w:rsidP="00241E3A">
            <w:pPr>
              <w:jc w:val="both"/>
              <w:rPr>
                <w:szCs w:val="28"/>
              </w:rPr>
            </w:pPr>
            <w:r>
              <w:rPr>
                <w:szCs w:val="28"/>
              </w:rPr>
              <w:t>И</w:t>
            </w:r>
            <w:r w:rsidRPr="00241E3A">
              <w:rPr>
                <w:szCs w:val="28"/>
              </w:rPr>
              <w:t>нформаци</w:t>
            </w:r>
            <w:r>
              <w:rPr>
                <w:szCs w:val="28"/>
              </w:rPr>
              <w:t>я генерального директора</w:t>
            </w:r>
            <w:r w:rsidRPr="00241E3A">
              <w:rPr>
                <w:szCs w:val="28"/>
              </w:rPr>
              <w:t xml:space="preserve"> ОАО «А</w:t>
            </w:r>
            <w:r w:rsidRPr="00241E3A">
              <w:rPr>
                <w:szCs w:val="28"/>
              </w:rPr>
              <w:t>р</w:t>
            </w:r>
            <w:r w:rsidRPr="00241E3A">
              <w:rPr>
                <w:szCs w:val="28"/>
              </w:rPr>
              <w:t xml:space="preserve">хангельская областная энергетическая компания» </w:t>
            </w:r>
            <w:r>
              <w:rPr>
                <w:szCs w:val="28"/>
              </w:rPr>
              <w:t xml:space="preserve">А.А. </w:t>
            </w:r>
            <w:proofErr w:type="spellStart"/>
            <w:r>
              <w:rPr>
                <w:szCs w:val="28"/>
              </w:rPr>
              <w:t>Валяева</w:t>
            </w:r>
            <w:proofErr w:type="spellEnd"/>
            <w:r>
              <w:rPr>
                <w:szCs w:val="28"/>
              </w:rPr>
              <w:t xml:space="preserve"> </w:t>
            </w:r>
            <w:r w:rsidRPr="00241E3A">
              <w:rPr>
                <w:szCs w:val="28"/>
              </w:rPr>
              <w:t xml:space="preserve">о деятельности </w:t>
            </w:r>
            <w:r>
              <w:rPr>
                <w:szCs w:val="28"/>
              </w:rPr>
              <w:t xml:space="preserve">общества </w:t>
            </w:r>
            <w:r w:rsidRPr="00241E3A">
              <w:rPr>
                <w:szCs w:val="28"/>
              </w:rPr>
              <w:t>в 2016 г</w:t>
            </w:r>
            <w:r w:rsidRPr="00241E3A">
              <w:rPr>
                <w:szCs w:val="28"/>
              </w:rPr>
              <w:t>о</w:t>
            </w:r>
            <w:r w:rsidRPr="00241E3A">
              <w:rPr>
                <w:szCs w:val="28"/>
              </w:rPr>
              <w:t>ду и планировании на среднесрочную перспект</w:t>
            </w:r>
            <w:r w:rsidRPr="00241E3A">
              <w:rPr>
                <w:szCs w:val="28"/>
              </w:rPr>
              <w:t>и</w:t>
            </w:r>
            <w:r w:rsidRPr="00241E3A">
              <w:rPr>
                <w:szCs w:val="28"/>
              </w:rPr>
              <w:t>ву</w:t>
            </w:r>
            <w:r>
              <w:rPr>
                <w:szCs w:val="28"/>
              </w:rPr>
              <w:t>.</w:t>
            </w:r>
          </w:p>
          <w:p w:rsidR="00241E3A" w:rsidRPr="00217C8F" w:rsidRDefault="00241E3A" w:rsidP="00241E3A">
            <w:pPr>
              <w:jc w:val="both"/>
              <w:rPr>
                <w:bCs/>
                <w:sz w:val="23"/>
                <w:szCs w:val="23"/>
              </w:rPr>
            </w:pPr>
            <w:r>
              <w:rPr>
                <w:szCs w:val="28"/>
              </w:rPr>
              <w:t>Информация заместителя председателя КСП А</w:t>
            </w:r>
            <w:r>
              <w:rPr>
                <w:szCs w:val="28"/>
              </w:rPr>
              <w:t>р</w:t>
            </w:r>
            <w:r>
              <w:rPr>
                <w:szCs w:val="28"/>
              </w:rPr>
              <w:t xml:space="preserve">хангельской области В.Н. Спицыной о кратких итогах проверки отдельных вопросов финансово-хозяйственной </w:t>
            </w:r>
            <w:r w:rsidR="008F35CB">
              <w:rPr>
                <w:szCs w:val="28"/>
              </w:rPr>
              <w:t xml:space="preserve">деятельности </w:t>
            </w:r>
            <w:r w:rsidR="008F35CB" w:rsidRPr="00241E3A">
              <w:rPr>
                <w:szCs w:val="28"/>
              </w:rPr>
              <w:t>ОАО «Архангел</w:t>
            </w:r>
            <w:r w:rsidR="008F35CB" w:rsidRPr="00241E3A">
              <w:rPr>
                <w:szCs w:val="28"/>
              </w:rPr>
              <w:t>ь</w:t>
            </w:r>
            <w:r w:rsidR="008F35CB" w:rsidRPr="00241E3A">
              <w:rPr>
                <w:szCs w:val="28"/>
              </w:rPr>
              <w:t>ская областная энергетическая компания»</w:t>
            </w:r>
            <w:r w:rsidR="008F35CB">
              <w:rPr>
                <w:szCs w:val="28"/>
              </w:rPr>
              <w:t xml:space="preserve"> (2013-2016 г.г.)</w:t>
            </w:r>
          </w:p>
        </w:tc>
        <w:tc>
          <w:tcPr>
            <w:tcW w:w="1984" w:type="dxa"/>
          </w:tcPr>
          <w:p w:rsidR="003B0DA6" w:rsidRPr="00C174EF" w:rsidRDefault="008A1875" w:rsidP="00A40E4F">
            <w:pPr>
              <w:pStyle w:val="a3"/>
              <w:ind w:left="-76" w:right="-56" w:firstLine="0"/>
              <w:jc w:val="center"/>
              <w:rPr>
                <w:sz w:val="23"/>
                <w:szCs w:val="23"/>
              </w:rPr>
            </w:pPr>
            <w:r w:rsidRPr="00C174EF">
              <w:rPr>
                <w:sz w:val="23"/>
                <w:szCs w:val="23"/>
              </w:rPr>
              <w:t>План</w:t>
            </w:r>
          </w:p>
        </w:tc>
        <w:tc>
          <w:tcPr>
            <w:tcW w:w="3119" w:type="dxa"/>
          </w:tcPr>
          <w:p w:rsidR="00161BE3" w:rsidRPr="008F35CB" w:rsidRDefault="008F35CB" w:rsidP="00161BE3">
            <w:pPr>
              <w:jc w:val="both"/>
            </w:pPr>
            <w:r w:rsidRPr="008F35CB">
              <w:t>Комитет РЕШИЛ:</w:t>
            </w:r>
          </w:p>
          <w:p w:rsidR="008F35CB" w:rsidRPr="008F35CB" w:rsidRDefault="008F35CB" w:rsidP="008F35CB">
            <w:pPr>
              <w:pStyle w:val="a3"/>
              <w:numPr>
                <w:ilvl w:val="0"/>
                <w:numId w:val="15"/>
              </w:numPr>
              <w:rPr>
                <w:b/>
                <w:sz w:val="24"/>
                <w:szCs w:val="24"/>
                <w:u w:val="single"/>
              </w:rPr>
            </w:pPr>
            <w:r w:rsidRPr="008F35CB">
              <w:rPr>
                <w:b/>
                <w:sz w:val="24"/>
                <w:szCs w:val="24"/>
                <w:u w:val="single"/>
              </w:rPr>
              <w:t>Отметить:</w:t>
            </w:r>
          </w:p>
          <w:p w:rsidR="008F35CB" w:rsidRPr="008F35CB" w:rsidRDefault="008F35CB" w:rsidP="008F35CB">
            <w:pPr>
              <w:autoSpaceDE w:val="0"/>
              <w:autoSpaceDN w:val="0"/>
              <w:adjustRightInd w:val="0"/>
              <w:ind w:firstLine="540"/>
              <w:jc w:val="both"/>
            </w:pPr>
            <w:r w:rsidRPr="008F35CB">
              <w:t>- анализ норм фед</w:t>
            </w:r>
            <w:r w:rsidRPr="008F35CB">
              <w:t>е</w:t>
            </w:r>
            <w:r w:rsidRPr="008F35CB">
              <w:t>рального законодательства (от 06.10.2003 № 131-ФЗ  «Об общих принципах о</w:t>
            </w:r>
            <w:r w:rsidRPr="008F35CB">
              <w:t>р</w:t>
            </w:r>
            <w:r w:rsidRPr="008F35CB">
              <w:t>ганизации местного сам</w:t>
            </w:r>
            <w:r w:rsidRPr="008F35CB">
              <w:t>о</w:t>
            </w:r>
            <w:r w:rsidRPr="008F35CB">
              <w:t>управления в Российской Федерации» и от 06.10.1999 № 184-ФЗ «Об общих принципах организации з</w:t>
            </w:r>
            <w:r w:rsidRPr="008F35CB">
              <w:t>а</w:t>
            </w:r>
            <w:r w:rsidRPr="008F35CB">
              <w:t>конодательных (представ</w:t>
            </w:r>
            <w:r w:rsidRPr="008F35CB">
              <w:t>и</w:t>
            </w:r>
            <w:r w:rsidRPr="008F35CB">
              <w:t>тельных) и исполнительных органов государственной власти субъектов Росси</w:t>
            </w:r>
            <w:r w:rsidRPr="008F35CB">
              <w:t>й</w:t>
            </w:r>
            <w:r w:rsidRPr="008F35CB">
              <w:t>ской Федерации» указыв</w:t>
            </w:r>
            <w:r w:rsidRPr="008F35CB">
              <w:t>а</w:t>
            </w:r>
            <w:r w:rsidRPr="008F35CB">
              <w:t>ют на отсутствие облас</w:t>
            </w:r>
            <w:r w:rsidRPr="008F35CB">
              <w:t>т</w:t>
            </w:r>
            <w:r w:rsidRPr="008F35CB">
              <w:t>ных полномочий в сфере тепл</w:t>
            </w:r>
            <w:proofErr w:type="gramStart"/>
            <w:r w:rsidRPr="008F35CB">
              <w:t>о-</w:t>
            </w:r>
            <w:proofErr w:type="gramEnd"/>
            <w:r w:rsidRPr="008F35CB">
              <w:t xml:space="preserve">, </w:t>
            </w:r>
            <w:proofErr w:type="spellStart"/>
            <w:r w:rsidRPr="008F35CB">
              <w:t>электро</w:t>
            </w:r>
            <w:proofErr w:type="spellEnd"/>
            <w:r w:rsidRPr="008F35CB">
              <w:t>-, водосна</w:t>
            </w:r>
            <w:r w:rsidRPr="008F35CB">
              <w:t>б</w:t>
            </w:r>
            <w:r w:rsidRPr="008F35CB">
              <w:t>жения и водоотведения;</w:t>
            </w:r>
          </w:p>
          <w:p w:rsidR="008F35CB" w:rsidRPr="008F35CB" w:rsidRDefault="008F35CB" w:rsidP="008F35CB">
            <w:pPr>
              <w:ind w:firstLine="540"/>
              <w:jc w:val="both"/>
              <w:rPr>
                <w:b/>
                <w:color w:val="000000"/>
              </w:rPr>
            </w:pPr>
            <w:r w:rsidRPr="008F35CB">
              <w:t>- отсутствие со стор</w:t>
            </w:r>
            <w:r w:rsidRPr="008F35CB">
              <w:t>о</w:t>
            </w:r>
            <w:r w:rsidRPr="008F35CB">
              <w:t>ны совета директоров ОАО «Архангельская областная энергетическая компания» общего руководства де</w:t>
            </w:r>
            <w:r w:rsidRPr="008F35CB">
              <w:t>я</w:t>
            </w:r>
            <w:r w:rsidRPr="008F35CB">
              <w:t>тельностью общества,</w:t>
            </w:r>
            <w:r w:rsidRPr="008F35CB">
              <w:rPr>
                <w:color w:val="586770"/>
              </w:rPr>
              <w:t xml:space="preserve"> </w:t>
            </w:r>
            <w:r w:rsidRPr="008F35CB">
              <w:rPr>
                <w:rStyle w:val="-"/>
                <w:b w:val="0"/>
                <w:color w:val="000000"/>
              </w:rPr>
              <w:t>стр</w:t>
            </w:r>
            <w:r w:rsidRPr="008F35CB">
              <w:rPr>
                <w:rStyle w:val="-"/>
                <w:b w:val="0"/>
                <w:color w:val="000000"/>
              </w:rPr>
              <w:t>а</w:t>
            </w:r>
            <w:r w:rsidRPr="008F35CB">
              <w:rPr>
                <w:rStyle w:val="-"/>
                <w:b w:val="0"/>
                <w:color w:val="000000"/>
              </w:rPr>
              <w:t>тегического управления</w:t>
            </w:r>
            <w:r w:rsidRPr="008F35CB">
              <w:rPr>
                <w:b/>
                <w:color w:val="000000"/>
              </w:rPr>
              <w:t xml:space="preserve"> </w:t>
            </w:r>
            <w:r w:rsidRPr="008F35CB">
              <w:rPr>
                <w:color w:val="000000"/>
              </w:rPr>
              <w:t>и</w:t>
            </w:r>
            <w:r w:rsidRPr="008F35CB">
              <w:rPr>
                <w:b/>
                <w:color w:val="000000"/>
              </w:rPr>
              <w:t xml:space="preserve"> </w:t>
            </w:r>
            <w:proofErr w:type="gramStart"/>
            <w:r w:rsidRPr="008F35CB">
              <w:rPr>
                <w:rStyle w:val="-"/>
                <w:b w:val="0"/>
                <w:color w:val="000000"/>
              </w:rPr>
              <w:lastRenderedPageBreak/>
              <w:t>контроля за</w:t>
            </w:r>
            <w:proofErr w:type="gramEnd"/>
            <w:r w:rsidRPr="008F35CB">
              <w:rPr>
                <w:rStyle w:val="-"/>
                <w:b w:val="0"/>
                <w:color w:val="000000"/>
              </w:rPr>
              <w:t xml:space="preserve"> менеджментом (о</w:t>
            </w:r>
            <w:r w:rsidRPr="008F35CB">
              <w:t>рганизация системы внутреннего контроля и управления рисками, оце</w:t>
            </w:r>
            <w:r w:rsidRPr="008F35CB">
              <w:t>н</w:t>
            </w:r>
            <w:r w:rsidRPr="008F35CB">
              <w:t>ка эффективности деятел</w:t>
            </w:r>
            <w:r w:rsidRPr="008F35CB">
              <w:t>ь</w:t>
            </w:r>
            <w:r w:rsidRPr="008F35CB">
              <w:t>ности общества)</w:t>
            </w:r>
            <w:r w:rsidRPr="008F35CB">
              <w:rPr>
                <w:color w:val="000000"/>
              </w:rPr>
              <w:t>;</w:t>
            </w:r>
            <w:r w:rsidRPr="008F35CB">
              <w:rPr>
                <w:b/>
                <w:color w:val="000000"/>
              </w:rPr>
              <w:t xml:space="preserve"> </w:t>
            </w:r>
          </w:p>
          <w:p w:rsidR="008F35CB" w:rsidRPr="008F35CB" w:rsidRDefault="008F35CB" w:rsidP="008F35CB">
            <w:pPr>
              <w:pStyle w:val="a3"/>
              <w:rPr>
                <w:sz w:val="24"/>
                <w:szCs w:val="24"/>
              </w:rPr>
            </w:pPr>
            <w:r w:rsidRPr="008F35CB">
              <w:rPr>
                <w:sz w:val="24"/>
                <w:szCs w:val="24"/>
              </w:rPr>
              <w:t>- неудовлетвор</w:t>
            </w:r>
            <w:r w:rsidRPr="008F35CB">
              <w:rPr>
                <w:sz w:val="24"/>
                <w:szCs w:val="24"/>
              </w:rPr>
              <w:t>и</w:t>
            </w:r>
            <w:r w:rsidRPr="008F35CB">
              <w:rPr>
                <w:sz w:val="24"/>
                <w:szCs w:val="24"/>
              </w:rPr>
              <w:t>тельные показатели фина</w:t>
            </w:r>
            <w:r w:rsidRPr="008F35CB">
              <w:rPr>
                <w:sz w:val="24"/>
                <w:szCs w:val="24"/>
              </w:rPr>
              <w:t>н</w:t>
            </w:r>
            <w:r w:rsidRPr="008F35CB">
              <w:rPr>
                <w:sz w:val="24"/>
                <w:szCs w:val="24"/>
              </w:rPr>
              <w:t>сово-экономического с</w:t>
            </w:r>
            <w:r w:rsidRPr="008F35CB">
              <w:rPr>
                <w:sz w:val="24"/>
                <w:szCs w:val="24"/>
              </w:rPr>
              <w:t>о</w:t>
            </w:r>
            <w:r w:rsidRPr="008F35CB">
              <w:rPr>
                <w:sz w:val="24"/>
                <w:szCs w:val="24"/>
              </w:rPr>
              <w:t>стояния ОАО «Архангел</w:t>
            </w:r>
            <w:r w:rsidRPr="008F35CB">
              <w:rPr>
                <w:sz w:val="24"/>
                <w:szCs w:val="24"/>
              </w:rPr>
              <w:t>ь</w:t>
            </w:r>
            <w:r w:rsidRPr="008F35CB">
              <w:rPr>
                <w:sz w:val="24"/>
                <w:szCs w:val="24"/>
              </w:rPr>
              <w:t>ская областная энергетич</w:t>
            </w:r>
            <w:r w:rsidRPr="008F35CB">
              <w:rPr>
                <w:sz w:val="24"/>
                <w:szCs w:val="24"/>
              </w:rPr>
              <w:t>е</w:t>
            </w:r>
            <w:r w:rsidRPr="008F35CB">
              <w:rPr>
                <w:sz w:val="24"/>
                <w:szCs w:val="24"/>
              </w:rPr>
              <w:t>ская компания» (особенно в сфере теплоснабжения), причиной которых стала тарифная политика аген</w:t>
            </w:r>
            <w:r w:rsidRPr="008F35CB">
              <w:rPr>
                <w:sz w:val="24"/>
                <w:szCs w:val="24"/>
              </w:rPr>
              <w:t>т</w:t>
            </w:r>
            <w:r w:rsidRPr="008F35CB">
              <w:rPr>
                <w:sz w:val="24"/>
                <w:szCs w:val="24"/>
              </w:rPr>
              <w:t>ства по тарифам и ценам Архангельской области;</w:t>
            </w:r>
          </w:p>
          <w:p w:rsidR="008F35CB" w:rsidRPr="008F35CB" w:rsidRDefault="008F35CB" w:rsidP="008F35CB">
            <w:pPr>
              <w:pStyle w:val="a3"/>
              <w:rPr>
                <w:sz w:val="24"/>
                <w:szCs w:val="24"/>
              </w:rPr>
            </w:pPr>
            <w:r w:rsidRPr="008F35CB">
              <w:rPr>
                <w:sz w:val="24"/>
                <w:szCs w:val="24"/>
              </w:rPr>
              <w:t>- обязательства ОАО «Архангельская областная энергетическая компания» по исполнительным листам в размере 250,0 млн. ру</w:t>
            </w:r>
            <w:r w:rsidRPr="008F35CB">
              <w:rPr>
                <w:sz w:val="24"/>
                <w:szCs w:val="24"/>
              </w:rPr>
              <w:t>б</w:t>
            </w:r>
            <w:r w:rsidRPr="008F35CB">
              <w:rPr>
                <w:sz w:val="24"/>
                <w:szCs w:val="24"/>
              </w:rPr>
              <w:t>лей, а также отсутствие и</w:t>
            </w:r>
            <w:r w:rsidRPr="008F35CB">
              <w:rPr>
                <w:sz w:val="24"/>
                <w:szCs w:val="24"/>
              </w:rPr>
              <w:t>н</w:t>
            </w:r>
            <w:r w:rsidRPr="008F35CB">
              <w:rPr>
                <w:sz w:val="24"/>
                <w:szCs w:val="24"/>
              </w:rPr>
              <w:t>формации о виновных л</w:t>
            </w:r>
            <w:r w:rsidRPr="008F35CB">
              <w:rPr>
                <w:sz w:val="24"/>
                <w:szCs w:val="24"/>
              </w:rPr>
              <w:t>и</w:t>
            </w:r>
            <w:r w:rsidRPr="008F35CB">
              <w:rPr>
                <w:sz w:val="24"/>
                <w:szCs w:val="24"/>
              </w:rPr>
              <w:t>цах – должностных лицах организации, действия к</w:t>
            </w:r>
            <w:r w:rsidRPr="008F35CB">
              <w:rPr>
                <w:sz w:val="24"/>
                <w:szCs w:val="24"/>
              </w:rPr>
              <w:t>о</w:t>
            </w:r>
            <w:r w:rsidRPr="008F35CB">
              <w:rPr>
                <w:sz w:val="24"/>
                <w:szCs w:val="24"/>
              </w:rPr>
              <w:t>торых привели к потере оборотного капитала в ук</w:t>
            </w:r>
            <w:r w:rsidRPr="008F35CB">
              <w:rPr>
                <w:sz w:val="24"/>
                <w:szCs w:val="24"/>
              </w:rPr>
              <w:t>а</w:t>
            </w:r>
            <w:r w:rsidRPr="008F35CB">
              <w:rPr>
                <w:sz w:val="24"/>
                <w:szCs w:val="24"/>
              </w:rPr>
              <w:t>занном размере, что указ</w:t>
            </w:r>
            <w:r w:rsidRPr="008F35CB">
              <w:rPr>
                <w:sz w:val="24"/>
                <w:szCs w:val="24"/>
              </w:rPr>
              <w:t>ы</w:t>
            </w:r>
            <w:r w:rsidRPr="008F35CB">
              <w:rPr>
                <w:sz w:val="24"/>
                <w:szCs w:val="24"/>
              </w:rPr>
              <w:t>вает на отсутствие у орг</w:t>
            </w:r>
            <w:r w:rsidRPr="008F35CB">
              <w:rPr>
                <w:sz w:val="24"/>
                <w:szCs w:val="24"/>
              </w:rPr>
              <w:t>а</w:t>
            </w:r>
            <w:r w:rsidRPr="008F35CB">
              <w:rPr>
                <w:sz w:val="24"/>
                <w:szCs w:val="24"/>
              </w:rPr>
              <w:t>низации внутреннего ко</w:t>
            </w:r>
            <w:r w:rsidRPr="008F35CB">
              <w:rPr>
                <w:sz w:val="24"/>
                <w:szCs w:val="24"/>
              </w:rPr>
              <w:t>н</w:t>
            </w:r>
            <w:r w:rsidRPr="008F35CB">
              <w:rPr>
                <w:sz w:val="24"/>
                <w:szCs w:val="24"/>
              </w:rPr>
              <w:t>троля, что приводит к ф</w:t>
            </w:r>
            <w:r w:rsidRPr="008F35CB">
              <w:rPr>
                <w:sz w:val="24"/>
                <w:szCs w:val="24"/>
              </w:rPr>
              <w:t>и</w:t>
            </w:r>
            <w:r w:rsidRPr="008F35CB">
              <w:rPr>
                <w:sz w:val="24"/>
                <w:szCs w:val="24"/>
              </w:rPr>
              <w:t>нансовой неустойчивости предприятия;</w:t>
            </w:r>
          </w:p>
          <w:p w:rsidR="008F35CB" w:rsidRPr="008F35CB" w:rsidRDefault="008F35CB" w:rsidP="008F35CB">
            <w:pPr>
              <w:pStyle w:val="a3"/>
              <w:rPr>
                <w:sz w:val="24"/>
                <w:szCs w:val="24"/>
              </w:rPr>
            </w:pPr>
            <w:r w:rsidRPr="008F35CB">
              <w:rPr>
                <w:sz w:val="24"/>
                <w:szCs w:val="24"/>
              </w:rPr>
              <w:t xml:space="preserve">- списание ОАО «Архангельская областная энергетическая компания» </w:t>
            </w:r>
            <w:r w:rsidRPr="008F35CB">
              <w:rPr>
                <w:sz w:val="24"/>
                <w:szCs w:val="24"/>
              </w:rPr>
              <w:lastRenderedPageBreak/>
              <w:t>200,0 млн. рублей безн</w:t>
            </w:r>
            <w:r w:rsidRPr="008F35CB">
              <w:rPr>
                <w:sz w:val="24"/>
                <w:szCs w:val="24"/>
              </w:rPr>
              <w:t>а</w:t>
            </w:r>
            <w:r w:rsidRPr="008F35CB">
              <w:rPr>
                <w:sz w:val="24"/>
                <w:szCs w:val="24"/>
              </w:rPr>
              <w:t>дежной дебиторской з</w:t>
            </w:r>
            <w:r w:rsidRPr="008F35CB">
              <w:rPr>
                <w:sz w:val="24"/>
                <w:szCs w:val="24"/>
              </w:rPr>
              <w:t>а</w:t>
            </w:r>
            <w:r w:rsidRPr="008F35CB">
              <w:rPr>
                <w:sz w:val="24"/>
                <w:szCs w:val="24"/>
              </w:rPr>
              <w:t>долженности, а также нал</w:t>
            </w:r>
            <w:r w:rsidRPr="008F35CB">
              <w:rPr>
                <w:sz w:val="24"/>
                <w:szCs w:val="24"/>
              </w:rPr>
              <w:t>и</w:t>
            </w:r>
            <w:r w:rsidRPr="008F35CB">
              <w:rPr>
                <w:sz w:val="24"/>
                <w:szCs w:val="24"/>
              </w:rPr>
              <w:t>чие штрафов (пеней) ук</w:t>
            </w:r>
            <w:r w:rsidRPr="008F35CB">
              <w:rPr>
                <w:sz w:val="24"/>
                <w:szCs w:val="24"/>
              </w:rPr>
              <w:t>а</w:t>
            </w:r>
            <w:r w:rsidRPr="008F35CB">
              <w:rPr>
                <w:sz w:val="24"/>
                <w:szCs w:val="24"/>
              </w:rPr>
              <w:t>зывает на несвоевреме</w:t>
            </w:r>
            <w:r w:rsidRPr="008F35CB">
              <w:rPr>
                <w:sz w:val="24"/>
                <w:szCs w:val="24"/>
              </w:rPr>
              <w:t>н</w:t>
            </w:r>
            <w:r w:rsidRPr="008F35CB">
              <w:rPr>
                <w:sz w:val="24"/>
                <w:szCs w:val="24"/>
              </w:rPr>
              <w:t xml:space="preserve">ность принятия мер по </w:t>
            </w:r>
            <w:proofErr w:type="gramStart"/>
            <w:r w:rsidRPr="008F35CB">
              <w:rPr>
                <w:sz w:val="24"/>
                <w:szCs w:val="24"/>
              </w:rPr>
              <w:t>ко</w:t>
            </w:r>
            <w:r w:rsidRPr="008F35CB">
              <w:rPr>
                <w:sz w:val="24"/>
                <w:szCs w:val="24"/>
              </w:rPr>
              <w:t>н</w:t>
            </w:r>
            <w:r w:rsidRPr="008F35CB">
              <w:rPr>
                <w:sz w:val="24"/>
                <w:szCs w:val="24"/>
              </w:rPr>
              <w:t>тролю за</w:t>
            </w:r>
            <w:proofErr w:type="gramEnd"/>
            <w:r w:rsidRPr="008F35CB">
              <w:rPr>
                <w:sz w:val="24"/>
                <w:szCs w:val="24"/>
              </w:rPr>
              <w:t xml:space="preserve"> договорными о</w:t>
            </w:r>
            <w:r w:rsidRPr="008F35CB">
              <w:rPr>
                <w:sz w:val="24"/>
                <w:szCs w:val="24"/>
              </w:rPr>
              <w:t>т</w:t>
            </w:r>
            <w:r w:rsidRPr="008F35CB">
              <w:rPr>
                <w:sz w:val="24"/>
                <w:szCs w:val="24"/>
              </w:rPr>
              <w:t>ношениями;</w:t>
            </w:r>
          </w:p>
          <w:p w:rsidR="008F35CB" w:rsidRPr="008F35CB" w:rsidRDefault="008F35CB" w:rsidP="008F35CB">
            <w:pPr>
              <w:ind w:firstLine="540"/>
              <w:jc w:val="both"/>
            </w:pPr>
            <w:r w:rsidRPr="008F35CB">
              <w:t>- причины финансовой неустойчивости ОАО «А</w:t>
            </w:r>
            <w:r w:rsidRPr="008F35CB">
              <w:t>р</w:t>
            </w:r>
            <w:r w:rsidRPr="008F35CB">
              <w:t>хангельская областная энергетическая компания» приводят к необходимости предоставления из облас</w:t>
            </w:r>
            <w:r w:rsidRPr="008F35CB">
              <w:t>т</w:t>
            </w:r>
            <w:r w:rsidRPr="008F35CB">
              <w:t>ного бюджета бюджетных ассигнований в уставный капитал ОАО «Архангел</w:t>
            </w:r>
            <w:r w:rsidRPr="008F35CB">
              <w:t>ь</w:t>
            </w:r>
            <w:r w:rsidRPr="008F35CB">
              <w:t>ская областная энергетич</w:t>
            </w:r>
            <w:r w:rsidRPr="008F35CB">
              <w:t>е</w:t>
            </w:r>
            <w:r w:rsidRPr="008F35CB">
              <w:t>ская компания» на попо</w:t>
            </w:r>
            <w:r w:rsidRPr="008F35CB">
              <w:t>л</w:t>
            </w:r>
            <w:r w:rsidRPr="008F35CB">
              <w:t>нение оборотных средств и предоставлению государс</w:t>
            </w:r>
            <w:r w:rsidRPr="008F35CB">
              <w:t>т</w:t>
            </w:r>
            <w:r w:rsidRPr="008F35CB">
              <w:t>венных гарантий, что пр</w:t>
            </w:r>
            <w:r w:rsidRPr="008F35CB">
              <w:t>и</w:t>
            </w:r>
            <w:r w:rsidRPr="008F35CB">
              <w:t>водит к нарушению при</w:t>
            </w:r>
            <w:r w:rsidRPr="008F35CB">
              <w:t>н</w:t>
            </w:r>
            <w:r w:rsidRPr="008F35CB">
              <w:t>ципа добросовестной ко</w:t>
            </w:r>
            <w:r w:rsidRPr="008F35CB">
              <w:t>н</w:t>
            </w:r>
            <w:r w:rsidRPr="008F35CB">
              <w:t>куренции в отрасли тепл</w:t>
            </w:r>
            <w:r w:rsidRPr="008F35CB">
              <w:t>о</w:t>
            </w:r>
            <w:r w:rsidRPr="008F35CB">
              <w:t>снабжения на территории Архангельской области;</w:t>
            </w:r>
          </w:p>
          <w:p w:rsidR="008F35CB" w:rsidRPr="008F35CB" w:rsidRDefault="008F35CB" w:rsidP="008F35CB">
            <w:pPr>
              <w:ind w:firstLine="540"/>
              <w:jc w:val="both"/>
            </w:pPr>
            <w:proofErr w:type="gramStart"/>
            <w:r w:rsidRPr="008F35CB">
              <w:t xml:space="preserve">- </w:t>
            </w:r>
            <w:proofErr w:type="spellStart"/>
            <w:r w:rsidRPr="008F35CB">
              <w:t>неподписание</w:t>
            </w:r>
            <w:proofErr w:type="spellEnd"/>
            <w:r w:rsidRPr="008F35CB">
              <w:t xml:space="preserve"> со стороны ОАО «Архангел</w:t>
            </w:r>
            <w:r w:rsidRPr="008F35CB">
              <w:t>ь</w:t>
            </w:r>
            <w:r w:rsidRPr="008F35CB">
              <w:t>ская областная энергетич</w:t>
            </w:r>
            <w:r w:rsidRPr="008F35CB">
              <w:t>е</w:t>
            </w:r>
            <w:r w:rsidRPr="008F35CB">
              <w:t>ская компания» актов в</w:t>
            </w:r>
            <w:r w:rsidRPr="008F35CB">
              <w:t>ы</w:t>
            </w:r>
            <w:r w:rsidRPr="008F35CB">
              <w:t>полненных работ ООО «ТЭПАК» (эксплуатиру</w:t>
            </w:r>
            <w:r w:rsidRPr="008F35CB">
              <w:t>ю</w:t>
            </w:r>
            <w:r w:rsidRPr="008F35CB">
              <w:t>щей локальные котельные согласно договоров аренды на территории МО «Город Архангельск») с одновр</w:t>
            </w:r>
            <w:r w:rsidRPr="008F35CB">
              <w:t>е</w:t>
            </w:r>
            <w:r w:rsidRPr="008F35CB">
              <w:lastRenderedPageBreak/>
              <w:t>менным включением объ</w:t>
            </w:r>
            <w:r w:rsidRPr="008F35CB">
              <w:t>е</w:t>
            </w:r>
            <w:r w:rsidRPr="008F35CB">
              <w:t>мов отпущенной тепловой энергии названной орган</w:t>
            </w:r>
            <w:r w:rsidRPr="008F35CB">
              <w:t>и</w:t>
            </w:r>
            <w:r w:rsidRPr="008F35CB">
              <w:t>зацией в счета для оплаты со стороны ГУ ОАО «ТГК-2» по Архангельской обла</w:t>
            </w:r>
            <w:r w:rsidRPr="008F35CB">
              <w:t>с</w:t>
            </w:r>
            <w:r w:rsidRPr="008F35CB">
              <w:t>ти, что может привести к очередным судебным искам и ухудшению финансовой ситуации ОАО «Архангел</w:t>
            </w:r>
            <w:r w:rsidRPr="008F35CB">
              <w:t>ь</w:t>
            </w:r>
            <w:r w:rsidRPr="008F35CB">
              <w:t>ская областная энергетич</w:t>
            </w:r>
            <w:r w:rsidRPr="008F35CB">
              <w:t>е</w:t>
            </w:r>
            <w:r w:rsidRPr="008F35CB">
              <w:t>ская</w:t>
            </w:r>
            <w:proofErr w:type="gramEnd"/>
            <w:r w:rsidRPr="008F35CB">
              <w:t xml:space="preserve"> компания».</w:t>
            </w:r>
          </w:p>
          <w:p w:rsidR="008F35CB" w:rsidRPr="008F35CB" w:rsidRDefault="008F35CB" w:rsidP="008F35CB">
            <w:pPr>
              <w:ind w:firstLine="540"/>
              <w:jc w:val="both"/>
              <w:rPr>
                <w:b/>
                <w:u w:val="single"/>
              </w:rPr>
            </w:pPr>
            <w:r w:rsidRPr="008F35CB">
              <w:t xml:space="preserve">2. </w:t>
            </w:r>
            <w:r w:rsidRPr="008F35CB">
              <w:rPr>
                <w:b/>
                <w:u w:val="single"/>
              </w:rPr>
              <w:t>Рекомендовать министерству ТЭК и ЖКХ Архангельской о</w:t>
            </w:r>
            <w:r w:rsidRPr="008F35CB">
              <w:rPr>
                <w:b/>
                <w:u w:val="single"/>
              </w:rPr>
              <w:t>б</w:t>
            </w:r>
            <w:r w:rsidRPr="008F35CB">
              <w:rPr>
                <w:b/>
                <w:u w:val="single"/>
              </w:rPr>
              <w:t>ласти:</w:t>
            </w:r>
          </w:p>
          <w:p w:rsidR="008F35CB" w:rsidRPr="008F35CB" w:rsidRDefault="008F35CB" w:rsidP="008F35CB">
            <w:pPr>
              <w:ind w:firstLine="540"/>
              <w:jc w:val="both"/>
            </w:pPr>
            <w:proofErr w:type="gramStart"/>
            <w:r w:rsidRPr="008F35CB">
              <w:t>- усилить контроль за исполнением инвестицио</w:t>
            </w:r>
            <w:r w:rsidRPr="008F35CB">
              <w:t>н</w:t>
            </w:r>
            <w:r w:rsidRPr="008F35CB">
              <w:t xml:space="preserve">ных программ </w:t>
            </w:r>
            <w:proofErr w:type="spellStart"/>
            <w:r w:rsidRPr="008F35CB">
              <w:t>ресурс</w:t>
            </w:r>
            <w:r w:rsidRPr="008F35CB">
              <w:t>о</w:t>
            </w:r>
            <w:r w:rsidRPr="008F35CB">
              <w:t>снабжающих</w:t>
            </w:r>
            <w:proofErr w:type="spellEnd"/>
            <w:r w:rsidRPr="008F35CB">
              <w:t xml:space="preserve"> организаций, включенных в тариф на действующий и очередной периоды тарифного регул</w:t>
            </w:r>
            <w:r w:rsidRPr="008F35CB">
              <w:t>и</w:t>
            </w:r>
            <w:r w:rsidRPr="008F35CB">
              <w:t>рования;</w:t>
            </w:r>
            <w:proofErr w:type="gramEnd"/>
          </w:p>
          <w:p w:rsidR="008F35CB" w:rsidRPr="008F35CB" w:rsidRDefault="008F35CB" w:rsidP="008F35CB">
            <w:pPr>
              <w:ind w:firstLine="540"/>
              <w:jc w:val="both"/>
            </w:pPr>
            <w:proofErr w:type="gramStart"/>
            <w:r w:rsidRPr="008F35CB">
              <w:t>- представить в адрес комитета в срок до 31 мая 2017 года графики погаш</w:t>
            </w:r>
            <w:r w:rsidRPr="008F35CB">
              <w:t>е</w:t>
            </w:r>
            <w:r w:rsidRPr="008F35CB">
              <w:t>ния задолженности ОАО «Архангельская областная энергетическая компания» перед ООО «</w:t>
            </w:r>
            <w:proofErr w:type="spellStart"/>
            <w:r w:rsidRPr="008F35CB">
              <w:t>Архбиоэне</w:t>
            </w:r>
            <w:r w:rsidRPr="008F35CB">
              <w:t>р</w:t>
            </w:r>
            <w:r w:rsidRPr="008F35CB">
              <w:t>го</w:t>
            </w:r>
            <w:proofErr w:type="spellEnd"/>
            <w:r w:rsidRPr="008F35CB">
              <w:t>» и ООО «ТЭПАК» с п</w:t>
            </w:r>
            <w:r w:rsidRPr="008F35CB">
              <w:t>о</w:t>
            </w:r>
            <w:r w:rsidRPr="008F35CB">
              <w:t>месячной разбивкой с о</w:t>
            </w:r>
            <w:r w:rsidRPr="008F35CB">
              <w:t>к</w:t>
            </w:r>
            <w:r w:rsidRPr="008F35CB">
              <w:t>тября 2016 года по насто</w:t>
            </w:r>
            <w:r w:rsidRPr="008F35CB">
              <w:t>я</w:t>
            </w:r>
            <w:r w:rsidRPr="008F35CB">
              <w:t>щее время с указанием и</w:t>
            </w:r>
            <w:r w:rsidRPr="008F35CB">
              <w:t>н</w:t>
            </w:r>
            <w:r w:rsidRPr="008F35CB">
              <w:t xml:space="preserve">формации о выполнении данного графика, а также </w:t>
            </w:r>
            <w:r w:rsidRPr="008F35CB">
              <w:lastRenderedPageBreak/>
              <w:t>информацию о расчетах с АО «</w:t>
            </w:r>
            <w:proofErr w:type="spellStart"/>
            <w:r w:rsidRPr="008F35CB">
              <w:t>Архтеплоэнерго</w:t>
            </w:r>
            <w:proofErr w:type="spellEnd"/>
            <w:r w:rsidRPr="008F35CB">
              <w:t>» (МО «Город Архангельск»);</w:t>
            </w:r>
            <w:proofErr w:type="gramEnd"/>
          </w:p>
          <w:p w:rsidR="008F35CB" w:rsidRPr="008F35CB" w:rsidRDefault="008F35CB" w:rsidP="008F35CB">
            <w:pPr>
              <w:ind w:firstLine="540"/>
              <w:jc w:val="both"/>
            </w:pPr>
            <w:r w:rsidRPr="008F35CB">
              <w:t>- предоставить в адрес комитета в срок до 31 мая 2017 года информацию о составе и председателе С</w:t>
            </w:r>
            <w:r w:rsidRPr="008F35CB">
              <w:t>о</w:t>
            </w:r>
            <w:r w:rsidRPr="008F35CB">
              <w:t>вета директоров ОАО «А</w:t>
            </w:r>
            <w:r w:rsidRPr="008F35CB">
              <w:t>р</w:t>
            </w:r>
            <w:r w:rsidRPr="008F35CB">
              <w:t>хангельская областная энергетическая компания»;</w:t>
            </w:r>
          </w:p>
          <w:p w:rsidR="008F35CB" w:rsidRPr="008F35CB" w:rsidRDefault="008F35CB" w:rsidP="008F35CB">
            <w:pPr>
              <w:ind w:firstLine="540"/>
              <w:jc w:val="both"/>
            </w:pPr>
            <w:r w:rsidRPr="008F35CB">
              <w:t>- представлять ежем</w:t>
            </w:r>
            <w:r w:rsidRPr="008F35CB">
              <w:t>е</w:t>
            </w:r>
            <w:r w:rsidRPr="008F35CB">
              <w:t>сячно в адрес комитета (по ситуации на начало кажд</w:t>
            </w:r>
            <w:r w:rsidRPr="008F35CB">
              <w:t>о</w:t>
            </w:r>
            <w:r w:rsidRPr="008F35CB">
              <w:t>го месяца, начиная с июня т.г.) информацию о состо</w:t>
            </w:r>
            <w:r w:rsidRPr="008F35CB">
              <w:t>я</w:t>
            </w:r>
            <w:r w:rsidRPr="008F35CB">
              <w:t>нии задолженности ОАО «ТГК-2» по Архангельской области перед ОАО «А</w:t>
            </w:r>
            <w:r w:rsidRPr="008F35CB">
              <w:t>р</w:t>
            </w:r>
            <w:r w:rsidRPr="008F35CB">
              <w:t>хангельская областная энергетическая компания;</w:t>
            </w:r>
          </w:p>
          <w:p w:rsidR="008F35CB" w:rsidRPr="008F35CB" w:rsidRDefault="008F35CB" w:rsidP="008F35CB">
            <w:pPr>
              <w:ind w:firstLine="540"/>
              <w:jc w:val="both"/>
            </w:pPr>
            <w:r w:rsidRPr="008F35CB">
              <w:t>- проанализировать работу муниципальных к</w:t>
            </w:r>
            <w:r w:rsidRPr="008F35CB">
              <w:t>о</w:t>
            </w:r>
            <w:r w:rsidRPr="008F35CB">
              <w:t>тельных, переданных в управление ОАО «Арха</w:t>
            </w:r>
            <w:r w:rsidRPr="008F35CB">
              <w:t>н</w:t>
            </w:r>
            <w:r w:rsidRPr="008F35CB">
              <w:t>гельская областная энерг</w:t>
            </w:r>
            <w:r w:rsidRPr="008F35CB">
              <w:t>е</w:t>
            </w:r>
            <w:r w:rsidRPr="008F35CB">
              <w:t>тическая компания», в ц</w:t>
            </w:r>
            <w:r w:rsidRPr="008F35CB">
              <w:t>е</w:t>
            </w:r>
            <w:r w:rsidRPr="008F35CB">
              <w:t>лях организации муниц</w:t>
            </w:r>
            <w:r w:rsidRPr="008F35CB">
              <w:t>и</w:t>
            </w:r>
            <w:r w:rsidRPr="008F35CB">
              <w:t>пальных конкурсов на пр</w:t>
            </w:r>
            <w:r w:rsidRPr="008F35CB">
              <w:t>а</w:t>
            </w:r>
            <w:r w:rsidRPr="008F35CB">
              <w:t>во заключения концессио</w:t>
            </w:r>
            <w:r w:rsidRPr="008F35CB">
              <w:t>н</w:t>
            </w:r>
            <w:r w:rsidRPr="008F35CB">
              <w:t>ных соглашений;</w:t>
            </w:r>
          </w:p>
          <w:p w:rsidR="008F35CB" w:rsidRPr="008F35CB" w:rsidRDefault="008F35CB" w:rsidP="008F35CB">
            <w:pPr>
              <w:ind w:firstLine="540"/>
              <w:jc w:val="both"/>
            </w:pPr>
            <w:r w:rsidRPr="008F35CB">
              <w:t>- направить в адрес глав муниципальных обр</w:t>
            </w:r>
            <w:r w:rsidRPr="008F35CB">
              <w:t>а</w:t>
            </w:r>
            <w:r w:rsidRPr="008F35CB">
              <w:t>зований Архангельской о</w:t>
            </w:r>
            <w:r w:rsidRPr="008F35CB">
              <w:t>б</w:t>
            </w:r>
            <w:r w:rsidRPr="008F35CB">
              <w:t>ласти разъяснения о нео</w:t>
            </w:r>
            <w:r w:rsidRPr="008F35CB">
              <w:t>б</w:t>
            </w:r>
            <w:r w:rsidRPr="008F35CB">
              <w:t>ходимости проведения оц</w:t>
            </w:r>
            <w:r w:rsidRPr="008F35CB">
              <w:t>е</w:t>
            </w:r>
            <w:r w:rsidRPr="008F35CB">
              <w:t>ночной стоимости муниц</w:t>
            </w:r>
            <w:r w:rsidRPr="008F35CB">
              <w:t>и</w:t>
            </w:r>
            <w:r w:rsidRPr="008F35CB">
              <w:t xml:space="preserve">пальных котельных в целях </w:t>
            </w:r>
            <w:r w:rsidRPr="008F35CB">
              <w:lastRenderedPageBreak/>
              <w:t>объективной оценки вел</w:t>
            </w:r>
            <w:r w:rsidRPr="008F35CB">
              <w:t>и</w:t>
            </w:r>
            <w:r w:rsidRPr="008F35CB">
              <w:t>чины аренды.</w:t>
            </w:r>
          </w:p>
          <w:p w:rsidR="008F35CB" w:rsidRPr="008F35CB" w:rsidRDefault="008F35CB" w:rsidP="00161BE3">
            <w:pPr>
              <w:jc w:val="both"/>
            </w:pP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8F" w:rsidRDefault="00040B8F">
      <w:r>
        <w:separator/>
      </w:r>
    </w:p>
  </w:endnote>
  <w:endnote w:type="continuationSeparator" w:id="0">
    <w:p w:rsidR="00040B8F" w:rsidRDefault="00040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8F" w:rsidRDefault="00040B8F">
      <w:r>
        <w:separator/>
      </w:r>
    </w:p>
  </w:footnote>
  <w:footnote w:type="continuationSeparator" w:id="0">
    <w:p w:rsidR="00040B8F" w:rsidRDefault="00040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2B536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2B536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9D6308">
      <w:rPr>
        <w:rStyle w:val="a9"/>
        <w:noProof/>
      </w:rPr>
      <w:t>6</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220E1"/>
    <w:multiLevelType w:val="hybridMultilevel"/>
    <w:tmpl w:val="D564E09C"/>
    <w:lvl w:ilvl="0" w:tplc="5DB09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2"/>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3"/>
  </w:num>
  <w:num w:numId="12">
    <w:abstractNumId w:val="3"/>
  </w:num>
  <w:num w:numId="13">
    <w:abstractNumId w:val="11"/>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1E3A"/>
    <w:rsid w:val="00243C0F"/>
    <w:rsid w:val="00245174"/>
    <w:rsid w:val="00256497"/>
    <w:rsid w:val="002575C2"/>
    <w:rsid w:val="002634F0"/>
    <w:rsid w:val="00263EEA"/>
    <w:rsid w:val="00263FD3"/>
    <w:rsid w:val="00264B13"/>
    <w:rsid w:val="002661B7"/>
    <w:rsid w:val="00274D31"/>
    <w:rsid w:val="00284285"/>
    <w:rsid w:val="00293AEF"/>
    <w:rsid w:val="00293DFC"/>
    <w:rsid w:val="00294716"/>
    <w:rsid w:val="002A02E6"/>
    <w:rsid w:val="002A1796"/>
    <w:rsid w:val="002A3C16"/>
    <w:rsid w:val="002A404B"/>
    <w:rsid w:val="002A422E"/>
    <w:rsid w:val="002A75B8"/>
    <w:rsid w:val="002B1B63"/>
    <w:rsid w:val="002B4FCA"/>
    <w:rsid w:val="002B5365"/>
    <w:rsid w:val="002C131E"/>
    <w:rsid w:val="002C3E6D"/>
    <w:rsid w:val="002C481E"/>
    <w:rsid w:val="002D0EF0"/>
    <w:rsid w:val="002D4744"/>
    <w:rsid w:val="002D5020"/>
    <w:rsid w:val="002E3877"/>
    <w:rsid w:val="002E551F"/>
    <w:rsid w:val="00317BB7"/>
    <w:rsid w:val="00320A5C"/>
    <w:rsid w:val="003235F6"/>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5310"/>
    <w:rsid w:val="0042605B"/>
    <w:rsid w:val="00430DD7"/>
    <w:rsid w:val="00431277"/>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589A"/>
    <w:rsid w:val="004866DD"/>
    <w:rsid w:val="00494ED8"/>
    <w:rsid w:val="00497C8A"/>
    <w:rsid w:val="004A1415"/>
    <w:rsid w:val="004A2BCB"/>
    <w:rsid w:val="004A7A12"/>
    <w:rsid w:val="004C765D"/>
    <w:rsid w:val="004D6EDB"/>
    <w:rsid w:val="004E6241"/>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30B57"/>
    <w:rsid w:val="00741A75"/>
    <w:rsid w:val="00745377"/>
    <w:rsid w:val="00745F75"/>
    <w:rsid w:val="007501FA"/>
    <w:rsid w:val="007503EE"/>
    <w:rsid w:val="00754F09"/>
    <w:rsid w:val="00767AE4"/>
    <w:rsid w:val="00770F10"/>
    <w:rsid w:val="00771603"/>
    <w:rsid w:val="00773F41"/>
    <w:rsid w:val="007776DD"/>
    <w:rsid w:val="00780F49"/>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8F35CB"/>
    <w:rsid w:val="008F552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6308"/>
    <w:rsid w:val="009D7309"/>
    <w:rsid w:val="009E4B88"/>
    <w:rsid w:val="009F3C0E"/>
    <w:rsid w:val="00A1096D"/>
    <w:rsid w:val="00A132F6"/>
    <w:rsid w:val="00A20ACB"/>
    <w:rsid w:val="00A37199"/>
    <w:rsid w:val="00A40E4F"/>
    <w:rsid w:val="00A4328C"/>
    <w:rsid w:val="00A534CA"/>
    <w:rsid w:val="00A54C83"/>
    <w:rsid w:val="00A71BB8"/>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E4BF4"/>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customStyle="1" w:styleId="-">
    <w:name w:val="опред-е"/>
    <w:basedOn w:val="a0"/>
    <w:rsid w:val="008F35C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62D76-F837-4A9D-8B79-AAB53ADF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3</cp:revision>
  <cp:lastPrinted>2014-03-17T09:30:00Z</cp:lastPrinted>
  <dcterms:created xsi:type="dcterms:W3CDTF">2017-05-25T08:07:00Z</dcterms:created>
  <dcterms:modified xsi:type="dcterms:W3CDTF">2017-12-07T12:54:00Z</dcterms:modified>
</cp:coreProperties>
</file>