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F20BFA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13 февраля 2017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409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4091">
              <w:rPr>
                <w:b/>
                <w:sz w:val="24"/>
                <w:szCs w:val="24"/>
              </w:rPr>
              <w:t>/</w:t>
            </w:r>
            <w:proofErr w:type="spellStart"/>
            <w:r w:rsidRPr="0050409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>инициативы</w:t>
            </w:r>
          </w:p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>/</w:t>
            </w:r>
          </w:p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04091" w:rsidRDefault="000128C7" w:rsidP="00504091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04091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Соответствие пла</w:t>
            </w:r>
            <w:r w:rsidR="009755A8" w:rsidRPr="00FA0F53">
              <w:rPr>
                <w:b/>
                <w:sz w:val="24"/>
                <w:szCs w:val="24"/>
              </w:rPr>
              <w:t>ну деятельности комитета на 2016</w:t>
            </w:r>
            <w:r w:rsidRPr="00FA0F53">
              <w:rPr>
                <w:b/>
                <w:sz w:val="24"/>
                <w:szCs w:val="24"/>
              </w:rPr>
              <w:t xml:space="preserve">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04091" w:rsidRDefault="000128C7" w:rsidP="0050409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04091" w:rsidRDefault="000128C7" w:rsidP="0050409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04091" w:rsidRDefault="000128C7" w:rsidP="0050409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04091" w:rsidRDefault="000128C7" w:rsidP="005040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409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6</w:t>
            </w: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504091" w:rsidRDefault="007F566A" w:rsidP="00504091">
            <w:pPr>
              <w:pStyle w:val="a3"/>
              <w:jc w:val="center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31</w:t>
            </w:r>
            <w:r w:rsidR="00D7568D" w:rsidRPr="0050409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9F" w:rsidRPr="00504091" w:rsidRDefault="005D7C9F" w:rsidP="00504091">
            <w:pPr>
              <w:jc w:val="center"/>
            </w:pPr>
            <w:r w:rsidRPr="00504091">
              <w:rPr>
                <w:bCs/>
              </w:rPr>
              <w:t>Постановление</w:t>
            </w:r>
            <w:r w:rsidRPr="00504091">
              <w:rPr>
                <w:b/>
                <w:bCs/>
              </w:rPr>
              <w:t xml:space="preserve"> </w:t>
            </w:r>
            <w:r w:rsidRPr="00504091">
              <w:t xml:space="preserve">Думы Ханты-Мансийского автономного округа - </w:t>
            </w:r>
            <w:proofErr w:type="spellStart"/>
            <w:r w:rsidRPr="00504091">
              <w:t>Югры</w:t>
            </w:r>
            <w:proofErr w:type="spellEnd"/>
            <w:r w:rsidRPr="00504091">
              <w:t xml:space="preserve"> «Об обращении к Министру внутренних дел Российской Федерации  В.А. Колокольцеву, Министру транспорта Российской Федерации  М.Ю. Соколову по вопросу внесения в федеральное законодательство изменений, направленных на повышение безопасности организованной перевозки групп детей автобусами»</w:t>
            </w:r>
          </w:p>
          <w:p w:rsidR="00D7568D" w:rsidRPr="00504091" w:rsidRDefault="00D7568D" w:rsidP="00504091">
            <w:pPr>
              <w:pStyle w:val="a3"/>
              <w:tabs>
                <w:tab w:val="left" w:pos="851"/>
                <w:tab w:val="left" w:pos="113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504091" w:rsidRDefault="005D7C9F" w:rsidP="00504091">
            <w:r w:rsidRPr="00504091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9F" w:rsidRPr="00504091" w:rsidRDefault="005D7C9F" w:rsidP="00504091">
            <w:pPr>
              <w:ind w:firstLine="601"/>
              <w:jc w:val="both"/>
            </w:pPr>
            <w:r w:rsidRPr="00504091">
              <w:t xml:space="preserve">В обращении Думы Ханты-Мансийского автономного округа - </w:t>
            </w:r>
            <w:proofErr w:type="spellStart"/>
            <w:r w:rsidRPr="00504091">
              <w:t>Югры</w:t>
            </w:r>
            <w:proofErr w:type="spellEnd"/>
            <w:r w:rsidRPr="00504091">
              <w:t xml:space="preserve"> к Министру внутренних дел Российской Федерации  В.А. Колокольцеву, Министру транспорта Российской Федерации  М.Ю. Соколову по вопросу внесения в федеральное законодательство изменений, направленных на повышение безопасности организованной перевозки групп детей автобусами предлагается:</w:t>
            </w:r>
          </w:p>
          <w:p w:rsidR="005D7C9F" w:rsidRPr="00504091" w:rsidRDefault="005D7C9F" w:rsidP="00504091">
            <w:pPr>
              <w:pStyle w:val="21"/>
              <w:shd w:val="clear" w:color="auto" w:fill="auto"/>
              <w:tabs>
                <w:tab w:val="left" w:pos="0"/>
                <w:tab w:val="left" w:pos="142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- установить стаж работы водителей автобусов, осуществляю</w:t>
            </w:r>
            <w:r w:rsidRPr="00504091">
              <w:rPr>
                <w:sz w:val="24"/>
                <w:szCs w:val="24"/>
              </w:rPr>
              <w:softHyphen/>
              <w:t>щих организованную перевозку группы детей, не менее пяти лет;</w:t>
            </w:r>
          </w:p>
          <w:p w:rsidR="005D7C9F" w:rsidRPr="00504091" w:rsidRDefault="005D7C9F" w:rsidP="00504091">
            <w:pPr>
              <w:ind w:firstLine="601"/>
              <w:jc w:val="both"/>
            </w:pPr>
            <w:r w:rsidRPr="00504091">
              <w:t>- сопровождение автомобилями ГИБДД и медицинским работником не только транс</w:t>
            </w:r>
            <w:r w:rsidRPr="00504091">
              <w:softHyphen/>
              <w:t>портной колонны в количестве трех и более автобусов, но и одного автобуса, осуществляющего организованную перевозку группы детей в междугородном сообщении;</w:t>
            </w:r>
          </w:p>
          <w:p w:rsidR="005D7C9F" w:rsidRPr="00504091" w:rsidRDefault="005D7C9F" w:rsidP="00504091">
            <w:pPr>
              <w:pStyle w:val="21"/>
              <w:shd w:val="clear" w:color="auto" w:fill="auto"/>
              <w:tabs>
                <w:tab w:val="left" w:pos="0"/>
                <w:tab w:val="left" w:pos="142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- введение лицензирования организован</w:t>
            </w:r>
            <w:r w:rsidRPr="00504091">
              <w:rPr>
                <w:sz w:val="24"/>
                <w:szCs w:val="24"/>
              </w:rPr>
              <w:softHyphen/>
              <w:t>ной перевозки группы детей автобусами, что не позволит случайным пред</w:t>
            </w:r>
            <w:r w:rsidRPr="00504091">
              <w:rPr>
                <w:sz w:val="24"/>
                <w:szCs w:val="24"/>
              </w:rPr>
              <w:softHyphen/>
              <w:t>принимателям, оказывающим любые разовые услуги в сфере автомобильных перевозок, предоставлять указанные услуги.</w:t>
            </w:r>
          </w:p>
          <w:p w:rsidR="00D7568D" w:rsidRPr="00504091" w:rsidRDefault="00D7568D" w:rsidP="00504091">
            <w:pPr>
              <w:pStyle w:val="a3"/>
              <w:tabs>
                <w:tab w:val="left" w:pos="993"/>
              </w:tabs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12664F" w:rsidRDefault="00D7568D" w:rsidP="0012664F">
            <w:pPr>
              <w:shd w:val="clear" w:color="auto" w:fill="FFFFFF"/>
              <w:jc w:val="center"/>
              <w:rPr>
                <w:bCs/>
              </w:rPr>
            </w:pPr>
            <w:r w:rsidRPr="0012664F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12664F" w:rsidRDefault="005D7C9F" w:rsidP="007514A1">
            <w:pPr>
              <w:jc w:val="center"/>
            </w:pPr>
            <w:r>
              <w:t xml:space="preserve">Поддержать </w:t>
            </w:r>
            <w:proofErr w:type="spellStart"/>
            <w:r w:rsidR="007514A1">
              <w:t>обрашение</w:t>
            </w:r>
            <w:proofErr w:type="spellEnd"/>
            <w:r w:rsidR="007514A1">
              <w:t xml:space="preserve"> </w:t>
            </w:r>
            <w:r w:rsidRPr="00CF06E1">
              <w:t xml:space="preserve">Думы Ханты-Мансийского автономного округа - </w:t>
            </w:r>
            <w:proofErr w:type="spellStart"/>
            <w:r w:rsidRPr="00CF06E1">
              <w:t>Югры</w:t>
            </w:r>
            <w:proofErr w:type="spellEnd"/>
          </w:p>
        </w:tc>
      </w:tr>
      <w:tr w:rsidR="002F3CA5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A5" w:rsidRPr="00504091" w:rsidRDefault="002F3CA5" w:rsidP="00504091">
            <w:pPr>
              <w:pStyle w:val="a3"/>
              <w:ind w:firstLine="0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A5" w:rsidRPr="00504091" w:rsidRDefault="002F3CA5" w:rsidP="00504091">
            <w:pPr>
              <w:jc w:val="center"/>
              <w:rPr>
                <w:bCs/>
              </w:rPr>
            </w:pPr>
            <w:r w:rsidRPr="00504091">
              <w:t xml:space="preserve">Рассмотрение проекта федерального закона № </w:t>
            </w:r>
            <w:hyperlink r:id="rId5" w:tgtFrame="_blank'" w:history="1">
              <w:r w:rsidRPr="00504091">
                <w:rPr>
                  <w:rStyle w:val="af"/>
                  <w:bCs/>
                  <w:color w:val="auto"/>
                  <w:u w:val="none"/>
                </w:rPr>
                <w:t>1067868-6</w:t>
              </w:r>
            </w:hyperlink>
            <w:r w:rsidRPr="00504091">
              <w:t xml:space="preserve">  </w:t>
            </w:r>
            <w:r w:rsidRPr="00504091">
              <w:rPr>
                <w:bCs/>
              </w:rPr>
              <w:t xml:space="preserve">«О внесении изменений в статьи 164 и 165 части второй </w:t>
            </w:r>
            <w:r w:rsidRPr="00504091">
              <w:rPr>
                <w:bCs/>
              </w:rPr>
              <w:lastRenderedPageBreak/>
              <w:t xml:space="preserve">Налогового кодекса Российской Федерации», внесенного в порядке </w:t>
            </w:r>
            <w:r w:rsidRPr="00504091">
              <w:t>законодательной инициативы Законодательным собранием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A5" w:rsidRPr="00504091" w:rsidRDefault="002F3CA5" w:rsidP="00504091">
            <w:r w:rsidRPr="00504091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504091" w:rsidRDefault="00504091" w:rsidP="00504091">
            <w:pPr>
              <w:ind w:firstLine="709"/>
              <w:jc w:val="both"/>
            </w:pPr>
            <w:r w:rsidRPr="00504091">
              <w:t xml:space="preserve">В соответствии с действующей редакцией части второй Налогового кодекса Российской Федерации установление нулевой ставки налога на добавленную стоимость (далее - НДС) предусмотрено только для фактических держателей судостроительных контрактов, </w:t>
            </w:r>
            <w:r w:rsidRPr="00504091">
              <w:lastRenderedPageBreak/>
              <w:t>заключенных непосредственно с заказчиком.</w:t>
            </w:r>
          </w:p>
          <w:p w:rsidR="00504091" w:rsidRPr="00504091" w:rsidRDefault="00504091" w:rsidP="00504091">
            <w:pPr>
              <w:ind w:firstLine="709"/>
              <w:jc w:val="both"/>
            </w:pPr>
            <w:r w:rsidRPr="00504091">
              <w:t>Представленный законопроект направлен на распространение мер налогового стимулирования на судостроительные организации, непосредственно выполняющие судостроительные работы по договорам субподряда.</w:t>
            </w:r>
          </w:p>
          <w:p w:rsidR="00504091" w:rsidRPr="00504091" w:rsidRDefault="00504091" w:rsidP="00504091">
            <w:pPr>
              <w:ind w:firstLine="709"/>
              <w:jc w:val="both"/>
            </w:pPr>
            <w:r w:rsidRPr="00504091">
              <w:t>В отличие от других отраслей промышленности судостроение связано с созданием весьма сложных и относительно дорогих объектов, в постройке кораблей и судов участвует огромное количество предприятий различных отраслей хозяйства, требуются большие объёмы и длительные сроки финансирования.</w:t>
            </w:r>
          </w:p>
          <w:p w:rsidR="00504091" w:rsidRPr="00504091" w:rsidRDefault="00504091" w:rsidP="00504091">
            <w:pPr>
              <w:ind w:firstLine="709"/>
              <w:jc w:val="both"/>
            </w:pPr>
            <w:r w:rsidRPr="00504091">
              <w:t>Считаем, что установление нулевой ставки  процентов по НДС для судостроительных организаций, непосредственно выполняющих судостроительные работы по договорам субподряда, выступает важным инструментом государственной поддержки судостроения и направлен на поддержку и развитие отечественного судостроения и судоходства.</w:t>
            </w:r>
          </w:p>
          <w:p w:rsidR="00504091" w:rsidRPr="00504091" w:rsidRDefault="00504091" w:rsidP="00504091">
            <w:pPr>
              <w:ind w:firstLine="709"/>
              <w:jc w:val="both"/>
            </w:pPr>
            <w:r w:rsidRPr="00504091">
              <w:t xml:space="preserve">При подготовке новой редакции законопроекта считаем необходимым определить объем распределяемых между генеральным подрядчиком и субподрядчиком работ, при которых у налогоплательщика возникает право на применение нулевой ставки НДС. </w:t>
            </w:r>
          </w:p>
          <w:p w:rsidR="00504091" w:rsidRPr="00504091" w:rsidRDefault="00504091" w:rsidP="00504091">
            <w:pPr>
              <w:ind w:firstLine="709"/>
              <w:jc w:val="both"/>
            </w:pPr>
            <w:r w:rsidRPr="00504091">
              <w:t xml:space="preserve">Также необходимо учесть позицию Счетной палаты  Российской Федерации, в  которой отмечается, что строительные работы генеральным подрядчиком самостоятельно могут не выполняться, а на их 100-процентное выполнение может быть привлечен субподрядчик на основании соответствующего договора. В таком случае предоставление налоговой преференции в виде нулевой ставки НДС генеральным подрядчикам является экономически необоснованной. </w:t>
            </w:r>
          </w:p>
          <w:p w:rsidR="00504091" w:rsidRPr="00504091" w:rsidRDefault="00504091" w:rsidP="00504091">
            <w:pPr>
              <w:ind w:firstLine="709"/>
              <w:jc w:val="both"/>
            </w:pPr>
            <w:proofErr w:type="gramStart"/>
            <w:r w:rsidRPr="00504091">
              <w:t xml:space="preserve">Кроме того, счетной палатой РФ обращается внимание на то, что предлагаемые изменения в пункт 13 статьи 165 Налогового кодекса, устанавливающий перечень документов, представляемых в налоговый орган для подтверждения обоснованности применения </w:t>
            </w:r>
            <w:r w:rsidRPr="00504091">
              <w:lastRenderedPageBreak/>
              <w:t>нулевой ставки НДС, создает правовую неопределенность в части того, какие именно документы должны будут представляться в случае выполнения работ по строительству судов, и какие - в случае реализации построенных судов.</w:t>
            </w:r>
            <w:proofErr w:type="gramEnd"/>
          </w:p>
          <w:p w:rsidR="00504091" w:rsidRPr="00504091" w:rsidRDefault="00504091" w:rsidP="00504091">
            <w:pPr>
              <w:ind w:firstLine="709"/>
              <w:jc w:val="both"/>
            </w:pPr>
            <w:proofErr w:type="gramStart"/>
            <w:r w:rsidRPr="00504091">
              <w:t xml:space="preserve">В целом, считаем, что принятие проекта федерального закона № </w:t>
            </w:r>
            <w:hyperlink r:id="rId6" w:tgtFrame="_blank'" w:history="1">
              <w:r w:rsidRPr="00504091">
                <w:rPr>
                  <w:rStyle w:val="af"/>
                  <w:bCs/>
                  <w:color w:val="auto"/>
                  <w:u w:val="none"/>
                </w:rPr>
                <w:t>1067868-6</w:t>
              </w:r>
            </w:hyperlink>
            <w:r w:rsidRPr="00504091">
              <w:t xml:space="preserve"> </w:t>
            </w:r>
            <w:r w:rsidRPr="00504091">
              <w:rPr>
                <w:bCs/>
              </w:rPr>
              <w:t>«О внесении изменений в статьи 164 и 165 части второй Налогового кодекса Российской Федерации»</w:t>
            </w:r>
            <w:r w:rsidRPr="00504091">
              <w:t xml:space="preserve"> позволит организациям отечественного судостроения увеличить портфель заказов, повысить рентабельность производства, в результате чего они получат возможность выполнить модернизацию и техническое перевооружение своих в настоящее время значительно изношенных и морально устаревших основных фондов, ликвидировав при этом или существенно</w:t>
            </w:r>
            <w:proofErr w:type="gramEnd"/>
            <w:r w:rsidRPr="00504091">
              <w:t xml:space="preserve"> уменьшив техническую и технологическую отсталость от лидеров мирового судостроения. </w:t>
            </w:r>
          </w:p>
          <w:p w:rsidR="002F3CA5" w:rsidRPr="00504091" w:rsidRDefault="002F3CA5" w:rsidP="0050409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5" w:rsidRPr="0012664F" w:rsidRDefault="00504091" w:rsidP="0012664F">
            <w:pPr>
              <w:shd w:val="clear" w:color="auto" w:fill="FFFFFF"/>
              <w:jc w:val="center"/>
            </w:pPr>
            <w: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A5" w:rsidRPr="00504091" w:rsidRDefault="002F3CA5" w:rsidP="005D7C9F">
            <w:pPr>
              <w:jc w:val="center"/>
            </w:pPr>
            <w:r w:rsidRPr="00504091">
              <w:t xml:space="preserve">Поддержать проект федерального закона № </w:t>
            </w:r>
            <w:hyperlink r:id="rId7" w:tgtFrame="_blank'" w:history="1">
              <w:r w:rsidRPr="00504091">
                <w:rPr>
                  <w:rStyle w:val="af"/>
                  <w:bCs/>
                  <w:color w:val="auto"/>
                  <w:u w:val="none"/>
                </w:rPr>
                <w:t>1067868-6</w:t>
              </w:r>
            </w:hyperlink>
            <w:r w:rsidRPr="00504091">
              <w:t xml:space="preserve">             </w:t>
            </w:r>
            <w:r w:rsidRPr="00504091">
              <w:rPr>
                <w:bCs/>
              </w:rPr>
              <w:t xml:space="preserve">«О внесении изменений в статьи </w:t>
            </w:r>
            <w:r w:rsidRPr="00504091">
              <w:rPr>
                <w:bCs/>
              </w:rPr>
              <w:lastRenderedPageBreak/>
              <w:t xml:space="preserve">164 и 165 части второй Налогового кодекса Российской Федерации», внесенный в порядке </w:t>
            </w:r>
            <w:r w:rsidRPr="00504091">
              <w:t>законодательной инициативы Законодательным собранием Ленинградской области</w:t>
            </w:r>
          </w:p>
        </w:tc>
      </w:tr>
      <w:tr w:rsidR="00E37CD2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2" w:rsidRPr="00504091" w:rsidRDefault="00E37CD2" w:rsidP="0050409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2" w:rsidRDefault="00E37CD2" w:rsidP="00E37CD2">
            <w:pPr>
              <w:autoSpaceDE w:val="0"/>
              <w:contextualSpacing/>
              <w:jc w:val="center"/>
            </w:pPr>
            <w:r w:rsidRPr="00F82AC1">
              <w:rPr>
                <w:szCs w:val="28"/>
              </w:rPr>
              <w:t>Проект</w:t>
            </w:r>
            <w:r>
              <w:rPr>
                <w:szCs w:val="28"/>
              </w:rPr>
              <w:t xml:space="preserve"> </w:t>
            </w:r>
            <w:r w:rsidRPr="00F82AC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82AC1">
              <w:rPr>
                <w:szCs w:val="28"/>
              </w:rPr>
              <w:t xml:space="preserve">федерального закона </w:t>
            </w:r>
            <w:r w:rsidRPr="00602FCB">
              <w:t>№ 46193-7</w:t>
            </w:r>
          </w:p>
          <w:p w:rsidR="00E37CD2" w:rsidRDefault="00E37CD2" w:rsidP="00E37CD2">
            <w:pPr>
              <w:autoSpaceDE w:val="0"/>
              <w:contextualSpacing/>
              <w:jc w:val="center"/>
              <w:rPr>
                <w:szCs w:val="28"/>
              </w:rPr>
            </w:pPr>
            <w:r w:rsidRPr="00F82AC1">
              <w:rPr>
                <w:szCs w:val="28"/>
              </w:rPr>
              <w:t xml:space="preserve"> «О внесении изменений в отдельные законодательные акты Российской Федерации»</w:t>
            </w:r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внесенный</w:t>
            </w:r>
            <w:proofErr w:type="gramEnd"/>
            <w:r>
              <w:rPr>
                <w:szCs w:val="28"/>
              </w:rPr>
              <w:t xml:space="preserve"> в Государственную Думу Федерального Собрания Российской Федерации Псковским областным Собранием депутатов.</w:t>
            </w:r>
          </w:p>
          <w:p w:rsidR="00E37CD2" w:rsidRPr="00504091" w:rsidRDefault="00E37CD2" w:rsidP="005040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2" w:rsidRPr="00504091" w:rsidRDefault="00E37CD2" w:rsidP="00504091">
            <w:r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2" w:rsidRPr="00F82AC1" w:rsidRDefault="00E37CD2" w:rsidP="00E37CD2">
            <w:pPr>
              <w:autoSpaceDE w:val="0"/>
              <w:ind w:firstLine="709"/>
              <w:contextualSpacing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szCs w:val="28"/>
              </w:rPr>
              <w:t xml:space="preserve">Законопроект </w:t>
            </w:r>
            <w:r w:rsidRPr="00F82AC1">
              <w:rPr>
                <w:rFonts w:eastAsia="Arial"/>
                <w:szCs w:val="28"/>
                <w:lang w:eastAsia="ar-SA"/>
              </w:rPr>
              <w:t>разработан в целях повышения уровня защиты интересов несовершеннолетних посредством определения порядка сбора средствами массовой инф</w:t>
            </w:r>
            <w:r>
              <w:rPr>
                <w:rFonts w:eastAsia="Arial"/>
                <w:szCs w:val="28"/>
                <w:lang w:eastAsia="ar-SA"/>
              </w:rPr>
              <w:t xml:space="preserve">ормации и гражданами информации </w:t>
            </w:r>
            <w:r w:rsidRPr="00F82AC1">
              <w:rPr>
                <w:rFonts w:eastAsia="Arial"/>
                <w:szCs w:val="28"/>
                <w:lang w:eastAsia="ar-SA"/>
              </w:rPr>
              <w:t>об обстоятельствах посягательства на половую неприкосновенность и половую свободу несовершеннолетнего, установление запрета распространения информации, полученной в нарушение этого порядка</w:t>
            </w:r>
            <w:r>
              <w:rPr>
                <w:rFonts w:eastAsia="Arial"/>
                <w:szCs w:val="28"/>
                <w:lang w:eastAsia="ar-SA"/>
              </w:rPr>
              <w:t>,</w:t>
            </w:r>
            <w:r w:rsidRPr="00F82AC1">
              <w:rPr>
                <w:rFonts w:eastAsia="Arial"/>
                <w:szCs w:val="28"/>
                <w:lang w:eastAsia="ar-SA"/>
              </w:rPr>
              <w:t xml:space="preserve"> и ответственности</w:t>
            </w:r>
            <w:r>
              <w:rPr>
                <w:rFonts w:eastAsia="Arial"/>
                <w:szCs w:val="28"/>
                <w:lang w:eastAsia="ar-SA"/>
              </w:rPr>
              <w:t xml:space="preserve"> </w:t>
            </w:r>
            <w:r w:rsidRPr="00F82AC1">
              <w:rPr>
                <w:rFonts w:eastAsia="Arial"/>
                <w:szCs w:val="28"/>
                <w:lang w:eastAsia="ar-SA"/>
              </w:rPr>
              <w:t>за незаконный сбор и (или) распространение соответствующей информации.</w:t>
            </w:r>
          </w:p>
          <w:p w:rsidR="00E37CD2" w:rsidRPr="00F82AC1" w:rsidRDefault="00E37CD2" w:rsidP="00E37CD2">
            <w:pPr>
              <w:autoSpaceDE w:val="0"/>
              <w:ind w:firstLine="709"/>
              <w:contextualSpacing/>
              <w:jc w:val="both"/>
              <w:rPr>
                <w:rFonts w:eastAsia="Arial"/>
                <w:szCs w:val="28"/>
                <w:lang w:eastAsia="ar-SA"/>
              </w:rPr>
            </w:pPr>
            <w:proofErr w:type="gramStart"/>
            <w:r w:rsidRPr="00F82AC1">
              <w:rPr>
                <w:rFonts w:eastAsia="Arial"/>
                <w:szCs w:val="28"/>
                <w:lang w:eastAsia="ar-SA"/>
              </w:rPr>
              <w:t>Действующая редакция Закон</w:t>
            </w:r>
            <w:r>
              <w:rPr>
                <w:rFonts w:eastAsia="Arial"/>
                <w:szCs w:val="28"/>
                <w:lang w:eastAsia="ar-SA"/>
              </w:rPr>
              <w:t xml:space="preserve">а Российской Федерации от 27 декабря </w:t>
            </w:r>
            <w:r w:rsidRPr="00F82AC1">
              <w:rPr>
                <w:rFonts w:eastAsia="Arial"/>
                <w:szCs w:val="28"/>
                <w:lang w:eastAsia="ar-SA"/>
              </w:rPr>
              <w:t>1991</w:t>
            </w:r>
            <w:r>
              <w:rPr>
                <w:rFonts w:eastAsia="Arial"/>
                <w:szCs w:val="28"/>
                <w:lang w:eastAsia="ar-SA"/>
              </w:rPr>
              <w:t xml:space="preserve"> года</w:t>
            </w:r>
            <w:r w:rsidRPr="00F82AC1">
              <w:rPr>
                <w:rFonts w:eastAsia="Arial"/>
                <w:szCs w:val="28"/>
                <w:lang w:eastAsia="ar-SA"/>
              </w:rPr>
              <w:t xml:space="preserve"> №</w:t>
            </w:r>
            <w:r>
              <w:rPr>
                <w:rFonts w:eastAsia="Arial"/>
                <w:szCs w:val="28"/>
                <w:lang w:eastAsia="ar-SA"/>
              </w:rPr>
              <w:t xml:space="preserve"> </w:t>
            </w:r>
            <w:r w:rsidRPr="00F82AC1">
              <w:rPr>
                <w:rFonts w:eastAsia="Arial"/>
                <w:szCs w:val="28"/>
                <w:lang w:eastAsia="ar-SA"/>
              </w:rPr>
              <w:t>2124</w:t>
            </w:r>
            <w:r>
              <w:rPr>
                <w:rFonts w:eastAsia="Arial"/>
                <w:szCs w:val="28"/>
                <w:lang w:eastAsia="ar-SA"/>
              </w:rPr>
              <w:t>-1</w:t>
            </w:r>
            <w:r w:rsidRPr="00F82AC1">
              <w:rPr>
                <w:rFonts w:eastAsia="Arial"/>
                <w:szCs w:val="28"/>
                <w:lang w:eastAsia="ar-SA"/>
              </w:rPr>
              <w:t xml:space="preserve"> «О средствах массовой информации» содержит ограничения на распространение информации о несовершеннолетних, пострадавших в результате против</w:t>
            </w:r>
            <w:r>
              <w:rPr>
                <w:rFonts w:eastAsia="Arial"/>
                <w:szCs w:val="28"/>
                <w:lang w:eastAsia="ar-SA"/>
              </w:rPr>
              <w:t xml:space="preserve">оправных действий (бездействия), но </w:t>
            </w:r>
            <w:r w:rsidRPr="00F82AC1">
              <w:rPr>
                <w:rFonts w:eastAsia="Arial"/>
                <w:szCs w:val="28"/>
                <w:lang w:eastAsia="ar-SA"/>
              </w:rPr>
              <w:t xml:space="preserve">не определяет порядок сбора средствами массовой информации сведений об обстоятельствах посягательства на половую свободу и половую неприкосновенность несовершеннолетних, а также не </w:t>
            </w:r>
            <w:r w:rsidRPr="00F82AC1">
              <w:rPr>
                <w:rFonts w:eastAsia="Arial"/>
                <w:szCs w:val="28"/>
                <w:lang w:eastAsia="ar-SA"/>
              </w:rPr>
              <w:lastRenderedPageBreak/>
              <w:t>содержит ограничений на распространение таких сведений, не связанных с личностью</w:t>
            </w:r>
            <w:proofErr w:type="gramEnd"/>
            <w:r w:rsidRPr="00F82AC1">
              <w:rPr>
                <w:rFonts w:eastAsia="Arial"/>
                <w:szCs w:val="28"/>
                <w:lang w:eastAsia="ar-SA"/>
              </w:rPr>
              <w:t xml:space="preserve"> пострадавшего.</w:t>
            </w:r>
          </w:p>
          <w:p w:rsidR="00E37CD2" w:rsidRPr="00F82AC1" w:rsidRDefault="00E37CD2" w:rsidP="00E37CD2">
            <w:pPr>
              <w:autoSpaceDE w:val="0"/>
              <w:ind w:firstLine="709"/>
              <w:contextualSpacing/>
              <w:jc w:val="both"/>
              <w:rPr>
                <w:rFonts w:eastAsia="Arial"/>
                <w:szCs w:val="28"/>
                <w:lang w:eastAsia="ar-SA"/>
              </w:rPr>
            </w:pPr>
            <w:r w:rsidRPr="00F82AC1">
              <w:rPr>
                <w:rFonts w:eastAsia="Arial"/>
                <w:szCs w:val="28"/>
                <w:lang w:eastAsia="ar-SA"/>
              </w:rPr>
              <w:t>Анализ складывающихся общественных отношений в связи со сбором и распространением информации свидетельствует об актуальности нормативно-правового урегулирования правил сбора сведений об обстоятельствах посягательства на половую неприкосновенность и половую свободу несовершеннолетних.</w:t>
            </w:r>
          </w:p>
          <w:p w:rsidR="00E37CD2" w:rsidRPr="00F82AC1" w:rsidRDefault="00E37CD2" w:rsidP="00E37CD2">
            <w:pPr>
              <w:autoSpaceDE w:val="0"/>
              <w:ind w:firstLine="709"/>
              <w:contextualSpacing/>
              <w:jc w:val="both"/>
              <w:rPr>
                <w:rFonts w:eastAsia="Arial"/>
                <w:szCs w:val="28"/>
                <w:lang w:eastAsia="ar-SA"/>
              </w:rPr>
            </w:pPr>
            <w:r w:rsidRPr="00F82AC1">
              <w:rPr>
                <w:rFonts w:eastAsia="Arial"/>
                <w:szCs w:val="28"/>
                <w:lang w:eastAsia="ar-SA"/>
              </w:rPr>
              <w:t xml:space="preserve">Для того чтобы сохранить возможность журналистского расследования при определенных обстоятельствах, </w:t>
            </w:r>
            <w:r>
              <w:rPr>
                <w:rFonts w:eastAsia="Arial"/>
                <w:szCs w:val="28"/>
                <w:lang w:eastAsia="ar-SA"/>
              </w:rPr>
              <w:t xml:space="preserve">законопроектом </w:t>
            </w:r>
            <w:r w:rsidRPr="00F82AC1">
              <w:rPr>
                <w:rFonts w:eastAsia="Arial"/>
                <w:szCs w:val="28"/>
                <w:lang w:eastAsia="ar-SA"/>
              </w:rPr>
              <w:t>предусмотрена возможность</w:t>
            </w:r>
            <w:r w:rsidRPr="00F82AC1">
              <w:rPr>
                <w:szCs w:val="28"/>
              </w:rPr>
              <w:t xml:space="preserve"> сбора СМИ информации </w:t>
            </w:r>
            <w:r w:rsidRPr="00F82AC1">
              <w:rPr>
                <w:rFonts w:eastAsia="Arial"/>
                <w:szCs w:val="28"/>
                <w:lang w:eastAsia="ar-SA"/>
              </w:rPr>
              <w:t xml:space="preserve">по письменному обращению родителей или иных законных представителей несовершеннолетнего пострадавшего либо самого несовершеннолетнего пострадавшего, достигшего четырнадцатилетнего возраста, согласованному органом опеки и попечительства. </w:t>
            </w:r>
          </w:p>
          <w:p w:rsidR="00E37CD2" w:rsidRPr="00F82AC1" w:rsidRDefault="00E37CD2" w:rsidP="00E37CD2">
            <w:pPr>
              <w:autoSpaceDE w:val="0"/>
              <w:ind w:firstLine="709"/>
              <w:contextualSpacing/>
              <w:jc w:val="both"/>
              <w:rPr>
                <w:rFonts w:eastAsia="Arial"/>
                <w:szCs w:val="28"/>
                <w:lang w:eastAsia="ar-SA"/>
              </w:rPr>
            </w:pPr>
            <w:r w:rsidRPr="00F82AC1">
              <w:rPr>
                <w:rFonts w:eastAsia="Arial"/>
                <w:szCs w:val="28"/>
                <w:lang w:eastAsia="ar-SA"/>
              </w:rPr>
              <w:t xml:space="preserve">За нарушение предлагаемых правил сбора сведений об обстоятельствах посягательства на половую неприкосновенность и половую свободу несовершеннолетних необходимо установить ответственность. </w:t>
            </w:r>
          </w:p>
          <w:p w:rsidR="00E37CD2" w:rsidRDefault="00E37CD2" w:rsidP="00E37CD2">
            <w:pPr>
              <w:autoSpaceDE w:val="0"/>
              <w:ind w:firstLine="709"/>
              <w:contextualSpacing/>
              <w:jc w:val="both"/>
              <w:rPr>
                <w:rFonts w:eastAsia="Arial"/>
                <w:szCs w:val="28"/>
                <w:lang w:eastAsia="ar-SA"/>
              </w:rPr>
            </w:pPr>
            <w:r w:rsidRPr="00F82AC1">
              <w:rPr>
                <w:rFonts w:eastAsia="Arial"/>
                <w:szCs w:val="28"/>
                <w:lang w:eastAsia="ar-SA"/>
              </w:rPr>
              <w:t>В связи с этим предлагается установить административную ответственность за нарушение уста</w:t>
            </w:r>
            <w:r>
              <w:rPr>
                <w:rFonts w:eastAsia="Arial"/>
                <w:szCs w:val="28"/>
                <w:lang w:eastAsia="ar-SA"/>
              </w:rPr>
              <w:t xml:space="preserve">новленных правил сбора сведений </w:t>
            </w:r>
            <w:r w:rsidRPr="00F82AC1">
              <w:rPr>
                <w:rFonts w:eastAsia="Arial"/>
                <w:szCs w:val="28"/>
                <w:lang w:eastAsia="ar-SA"/>
              </w:rPr>
              <w:t xml:space="preserve">об обстоятельствах посягательства на половую неприкосновенность и половую свободу несовершеннолетних, а также за распространение незаконно собранных таких сведений, дополнив диспозицию </w:t>
            </w:r>
            <w:proofErr w:type="gramStart"/>
            <w:r w:rsidRPr="00F82AC1">
              <w:rPr>
                <w:rFonts w:eastAsia="Arial"/>
                <w:szCs w:val="28"/>
                <w:lang w:eastAsia="ar-SA"/>
              </w:rPr>
              <w:t>ч</w:t>
            </w:r>
            <w:proofErr w:type="gramEnd"/>
            <w:r w:rsidRPr="00F82AC1">
              <w:rPr>
                <w:rFonts w:eastAsia="Arial"/>
                <w:szCs w:val="28"/>
                <w:lang w:eastAsia="ar-SA"/>
              </w:rPr>
              <w:t>.</w:t>
            </w:r>
            <w:r>
              <w:rPr>
                <w:rFonts w:eastAsia="Arial"/>
                <w:szCs w:val="28"/>
                <w:lang w:eastAsia="ar-SA"/>
              </w:rPr>
              <w:t xml:space="preserve"> </w:t>
            </w:r>
            <w:r w:rsidRPr="00F82AC1">
              <w:rPr>
                <w:rFonts w:eastAsia="Arial"/>
                <w:szCs w:val="28"/>
                <w:lang w:eastAsia="ar-SA"/>
              </w:rPr>
              <w:t>3 ст.</w:t>
            </w:r>
            <w:r>
              <w:rPr>
                <w:rFonts w:eastAsia="Arial"/>
                <w:szCs w:val="28"/>
                <w:lang w:eastAsia="ar-SA"/>
              </w:rPr>
              <w:t xml:space="preserve"> 13.15 </w:t>
            </w:r>
            <w:proofErr w:type="spellStart"/>
            <w:r>
              <w:rPr>
                <w:rFonts w:eastAsia="Arial"/>
                <w:szCs w:val="28"/>
                <w:lang w:eastAsia="ar-SA"/>
              </w:rPr>
              <w:t>КоАП</w:t>
            </w:r>
            <w:proofErr w:type="spellEnd"/>
            <w:r>
              <w:rPr>
                <w:rFonts w:eastAsia="Arial"/>
                <w:szCs w:val="28"/>
                <w:lang w:eastAsia="ar-SA"/>
              </w:rPr>
              <w:t xml:space="preserve"> РФ нормами </w:t>
            </w:r>
            <w:r w:rsidRPr="00F82AC1">
              <w:rPr>
                <w:rFonts w:eastAsia="Arial"/>
                <w:szCs w:val="28"/>
                <w:lang w:eastAsia="ar-SA"/>
              </w:rPr>
              <w:t xml:space="preserve">соответствующего содержания. </w:t>
            </w:r>
          </w:p>
          <w:p w:rsidR="00E37CD2" w:rsidRPr="00877156" w:rsidRDefault="00E37CD2" w:rsidP="00E37CD2">
            <w:pPr>
              <w:autoSpaceDE w:val="0"/>
              <w:ind w:firstLine="709"/>
              <w:contextualSpacing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Кроме этого, на </w:t>
            </w:r>
            <w:r>
              <w:rPr>
                <w:rFonts w:eastAsia="Arial"/>
                <w:szCs w:val="28"/>
                <w:lang w:val="en-US" w:eastAsia="ar-SA"/>
              </w:rPr>
              <w:t>LI</w:t>
            </w:r>
            <w:r>
              <w:rPr>
                <w:rFonts w:eastAsia="Arial"/>
                <w:szCs w:val="28"/>
                <w:lang w:eastAsia="ar-SA"/>
              </w:rPr>
              <w:t xml:space="preserve"> Конференции Парламентской Ассоциации </w:t>
            </w:r>
            <w:proofErr w:type="spellStart"/>
            <w:r>
              <w:rPr>
                <w:rFonts w:eastAsia="Arial"/>
                <w:szCs w:val="28"/>
                <w:lang w:eastAsia="ar-SA"/>
              </w:rPr>
              <w:t>Северо-Запада</w:t>
            </w:r>
            <w:proofErr w:type="spellEnd"/>
            <w:r>
              <w:rPr>
                <w:rFonts w:eastAsia="Arial"/>
                <w:szCs w:val="28"/>
                <w:lang w:eastAsia="ar-SA"/>
              </w:rPr>
              <w:t xml:space="preserve"> России, состоявшейся 28 ноября 2016 года в Псковской области, принято решение о поддержке </w:t>
            </w:r>
            <w:r w:rsidRPr="00F82AC1">
              <w:rPr>
                <w:szCs w:val="28"/>
              </w:rPr>
              <w:t>проект</w:t>
            </w:r>
            <w:r>
              <w:rPr>
                <w:szCs w:val="28"/>
              </w:rPr>
              <w:t>а</w:t>
            </w:r>
            <w:r w:rsidRPr="00F82AC1">
              <w:rPr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Федерации»</w:t>
            </w:r>
            <w:r>
              <w:rPr>
                <w:szCs w:val="28"/>
              </w:rPr>
              <w:t xml:space="preserve"> и законодательным (представительным) органам – членам ПАСЗР  </w:t>
            </w:r>
            <w:r>
              <w:rPr>
                <w:szCs w:val="28"/>
              </w:rPr>
              <w:lastRenderedPageBreak/>
              <w:t xml:space="preserve">рекомендовано поддержать указанный законопроект. </w:t>
            </w:r>
          </w:p>
          <w:p w:rsidR="00E37CD2" w:rsidRPr="00504091" w:rsidRDefault="00E37CD2" w:rsidP="00E37CD2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2" w:rsidRDefault="00E37CD2" w:rsidP="0012664F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2" w:rsidRPr="00877156" w:rsidRDefault="00E37CD2" w:rsidP="00E37CD2">
            <w:pPr>
              <w:jc w:val="center"/>
            </w:pPr>
            <w:r w:rsidRPr="00877156">
              <w:rPr>
                <w:szCs w:val="28"/>
              </w:rPr>
              <w:t>комитет предлагает депутатам областного Собрания депутатов поддержать</w:t>
            </w:r>
            <w:r w:rsidRPr="00877156">
              <w:t xml:space="preserve"> проект федерального закона № 46193-7</w:t>
            </w:r>
            <w:r>
              <w:t xml:space="preserve">              </w:t>
            </w:r>
            <w:r w:rsidRPr="00877156">
              <w:rPr>
                <w:szCs w:val="28"/>
              </w:rPr>
              <w:t xml:space="preserve">«О внесении изменений в отдельные законодательные акты </w:t>
            </w:r>
            <w:r>
              <w:rPr>
                <w:szCs w:val="28"/>
              </w:rPr>
              <w:t xml:space="preserve"> </w:t>
            </w:r>
            <w:r w:rsidRPr="00877156">
              <w:rPr>
                <w:szCs w:val="28"/>
              </w:rPr>
              <w:t>Российской Федерации» на очередной</w:t>
            </w:r>
            <w:r>
              <w:rPr>
                <w:szCs w:val="28"/>
              </w:rPr>
              <w:t xml:space="preserve"> тридцать второй</w:t>
            </w:r>
            <w:r w:rsidRPr="00877156">
              <w:rPr>
                <w:szCs w:val="28"/>
              </w:rPr>
              <w:t xml:space="preserve"> сессии областного Собрания</w:t>
            </w:r>
            <w:r>
              <w:rPr>
                <w:szCs w:val="28"/>
              </w:rPr>
              <w:t xml:space="preserve"> (15-16 февраля 2017 года)</w:t>
            </w:r>
            <w:r w:rsidRPr="00877156">
              <w:rPr>
                <w:szCs w:val="28"/>
              </w:rPr>
              <w:t>.</w:t>
            </w:r>
          </w:p>
          <w:p w:rsidR="00E37CD2" w:rsidRPr="00504091" w:rsidRDefault="00E37CD2" w:rsidP="005D7C9F">
            <w:pPr>
              <w:jc w:val="center"/>
            </w:pPr>
          </w:p>
        </w:tc>
      </w:tr>
      <w:tr w:rsidR="00FB3356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6" w:rsidRDefault="00FB3356" w:rsidP="00504091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FB3356" w:rsidRPr="00FB3356" w:rsidRDefault="00FB3356" w:rsidP="00FB3356">
            <w: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6" w:rsidRDefault="00FB3356" w:rsidP="00E37CD2">
            <w:pPr>
              <w:autoSpaceDE w:val="0"/>
              <w:contextualSpacing/>
              <w:jc w:val="center"/>
            </w:pPr>
            <w:r w:rsidRPr="00FB3356">
              <w:t xml:space="preserve">Проект областного закона «О внесении изменений в отдельные областные законы», внесенный Губернатором Архангельской области И.А. Орловым </w:t>
            </w:r>
          </w:p>
          <w:p w:rsidR="00FB3356" w:rsidRPr="00FB3356" w:rsidRDefault="00FB3356" w:rsidP="00E37CD2">
            <w:pPr>
              <w:autoSpaceDE w:val="0"/>
              <w:contextualSpacing/>
              <w:jc w:val="center"/>
            </w:pPr>
            <w:r w:rsidRPr="00FB3356">
              <w:t>(статья 17)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6" w:rsidRPr="00FB3356" w:rsidRDefault="00FB3356" w:rsidP="00504091">
            <w:r w:rsidRPr="00FB3356">
              <w:t xml:space="preserve">Э.А. Белокоровин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6" w:rsidRPr="00FB3356" w:rsidRDefault="00FB3356" w:rsidP="00FB3356">
            <w:pPr>
              <w:ind w:firstLine="709"/>
              <w:jc w:val="both"/>
            </w:pPr>
            <w:proofErr w:type="gramStart"/>
            <w:r w:rsidRPr="00FB3356">
              <w:rPr>
                <w:color w:val="000000"/>
              </w:rPr>
              <w:t>Законопроектом предлагается в областном законе от 06 декабря 2007 года № 459-22-03 «О компетенции органов государственной власти</w:t>
            </w:r>
            <w:r w:rsidRPr="00FB3356">
              <w:t xml:space="preserve"> </w:t>
            </w:r>
            <w:r w:rsidRPr="00FB3356">
              <w:rPr>
                <w:color w:val="000000"/>
              </w:rPr>
              <w:t>Архангельской области в сфере радиационной безопасности населения и использования атомной энергии» уточнить полномочия Архангельского областного Собрания депутатов, Правительства Архангельской области, уполномоченных исполнительных органов государственной власти Архангельской области в сфере обеспечения радиационной безопасности населения и использования атомной энергии с учетом положений Федеральных законов от 21</w:t>
            </w:r>
            <w:proofErr w:type="gramEnd"/>
            <w:r w:rsidRPr="00FB3356">
              <w:rPr>
                <w:color w:val="000000"/>
              </w:rPr>
              <w:t xml:space="preserve"> ноября 1995 года № 170-ФЗ «Об использовании атомной энергии», от 09 января 1996 года  № З-ФЗ «О радиационной безопасности населения», а также Положения об организации системы государственного учета и контроля радиоактивных веществ и радиоактивных отходов, утвержденного постановлением Правительства Российской Федерации от 15 июня 2016 года № 542.</w:t>
            </w:r>
          </w:p>
          <w:p w:rsidR="00FB3356" w:rsidRPr="00FB3356" w:rsidRDefault="00FB3356" w:rsidP="00FB3356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6" w:rsidRPr="00FB3356" w:rsidRDefault="00FB3356" w:rsidP="0012664F">
            <w:pPr>
              <w:shd w:val="clear" w:color="auto" w:fill="FFFFFF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56" w:rsidRPr="00FB3356" w:rsidRDefault="00FB3356" w:rsidP="00FB3356">
            <w:pPr>
              <w:jc w:val="center"/>
            </w:pPr>
            <w:r w:rsidRPr="00FB3356">
              <w:t>Замечаний к законопроекту комитет не имеет.</w:t>
            </w:r>
          </w:p>
          <w:p w:rsidR="00FB3356" w:rsidRPr="00FB3356" w:rsidRDefault="00FB3356" w:rsidP="00E37CD2">
            <w:pPr>
              <w:jc w:val="center"/>
            </w:pPr>
          </w:p>
        </w:tc>
      </w:tr>
      <w:tr w:rsidR="00CA6D5C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504091" w:rsidRDefault="00342287" w:rsidP="005040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A6D5C" w:rsidRPr="00504091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504091" w:rsidRDefault="00CA6D5C" w:rsidP="00504091">
            <w:pPr>
              <w:pStyle w:val="a3"/>
              <w:tabs>
                <w:tab w:val="left" w:pos="743"/>
                <w:tab w:val="left" w:pos="851"/>
              </w:tabs>
              <w:ind w:hanging="107"/>
              <w:jc w:val="center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 xml:space="preserve">Рассмотрение ходатайства </w:t>
            </w:r>
            <w:r w:rsidR="00504091" w:rsidRPr="00504091">
              <w:rPr>
                <w:bCs/>
                <w:sz w:val="24"/>
                <w:szCs w:val="24"/>
              </w:rPr>
              <w:t xml:space="preserve">исполняющего обязанности директора ФГБУН ФИЦКИА РАН В.Б. Коробова </w:t>
            </w:r>
            <w:r w:rsidR="00504091" w:rsidRPr="00504091">
              <w:rPr>
                <w:sz w:val="24"/>
                <w:szCs w:val="24"/>
              </w:rPr>
              <w:t>п</w:t>
            </w:r>
            <w:r w:rsidR="00504091">
              <w:rPr>
                <w:sz w:val="24"/>
                <w:szCs w:val="24"/>
              </w:rPr>
              <w:t xml:space="preserve">о награждению Почетной грамотой </w:t>
            </w:r>
            <w:r w:rsidR="00504091" w:rsidRPr="00504091">
              <w:rPr>
                <w:sz w:val="24"/>
                <w:szCs w:val="24"/>
              </w:rPr>
              <w:t xml:space="preserve">Архангельского областного Собрания депутатов сотрудников Федерального государственного бюджетного учреждения науки Федеральный исследовательский центр комплексного изучения Арктики Российской </w:t>
            </w:r>
            <w:r w:rsidR="00504091" w:rsidRPr="00504091">
              <w:rPr>
                <w:sz w:val="24"/>
                <w:szCs w:val="24"/>
              </w:rPr>
              <w:lastRenderedPageBreak/>
              <w:t>академии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504091" w:rsidRDefault="00CA6D5C" w:rsidP="00504091">
            <w:r w:rsidRPr="00504091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504091" w:rsidRDefault="00CA6D5C" w:rsidP="00504091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04091">
              <w:rPr>
                <w:bCs/>
                <w:sz w:val="24"/>
                <w:szCs w:val="24"/>
              </w:rPr>
              <w:t xml:space="preserve">ходатайство </w:t>
            </w:r>
            <w:r w:rsidR="00504091" w:rsidRPr="00504091">
              <w:rPr>
                <w:bCs/>
                <w:sz w:val="24"/>
                <w:szCs w:val="24"/>
              </w:rPr>
              <w:t xml:space="preserve">исполняющего обязанности директора ФГБУН ФИЦКИА РАН В.Б. Коробова </w:t>
            </w:r>
            <w:r w:rsidR="00504091" w:rsidRPr="00504091">
              <w:rPr>
                <w:sz w:val="24"/>
                <w:szCs w:val="24"/>
              </w:rPr>
              <w:t>по награждению Почетной грамотой Архангельского областного Собрания депутатов:</w:t>
            </w:r>
          </w:p>
          <w:p w:rsidR="00504091" w:rsidRPr="00504091" w:rsidRDefault="00504091" w:rsidP="00504091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 xml:space="preserve">1)  </w:t>
            </w:r>
            <w:proofErr w:type="spellStart"/>
            <w:r w:rsidRPr="00504091">
              <w:rPr>
                <w:sz w:val="24"/>
                <w:szCs w:val="24"/>
              </w:rPr>
              <w:t>Моревой</w:t>
            </w:r>
            <w:proofErr w:type="spellEnd"/>
            <w:r w:rsidRPr="00504091">
              <w:rPr>
                <w:sz w:val="24"/>
                <w:szCs w:val="24"/>
              </w:rPr>
              <w:t xml:space="preserve"> Ольги Юрьевны, научного сотрудника лаборатории пресноводных и морских систем Федерального государственного бюджетного учреждения науки Федеральный исследовательский центр комплексного изучения Арктики Российской академии наук - за многолетний добросовестный труд, значительный вклад в изучение водных экосистем Архангельской области и в связи с юбилейным днем рождения;</w:t>
            </w:r>
          </w:p>
          <w:p w:rsidR="00504091" w:rsidRPr="00504091" w:rsidRDefault="00504091" w:rsidP="00504091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504091">
              <w:rPr>
                <w:sz w:val="24"/>
                <w:szCs w:val="24"/>
              </w:rPr>
              <w:t xml:space="preserve">2) </w:t>
            </w:r>
            <w:proofErr w:type="spellStart"/>
            <w:r w:rsidRPr="00504091">
              <w:rPr>
                <w:sz w:val="24"/>
                <w:szCs w:val="24"/>
              </w:rPr>
              <w:t>Гусаковой</w:t>
            </w:r>
            <w:proofErr w:type="spellEnd"/>
            <w:r w:rsidRPr="00504091">
              <w:rPr>
                <w:sz w:val="24"/>
                <w:szCs w:val="24"/>
              </w:rPr>
              <w:t xml:space="preserve"> Марии Аркадьевны, заведующей лаборатории химии растительных биополимеров </w:t>
            </w:r>
            <w:r w:rsidRPr="00504091">
              <w:rPr>
                <w:sz w:val="24"/>
                <w:szCs w:val="24"/>
              </w:rPr>
              <w:lastRenderedPageBreak/>
              <w:t>Федерального государственного бюджетного учреждения науки Федеральный исследовательский центр комплексного изучения Арктики Российской академии наук - за многолетний добросовестный труд, значительный вклад в организацию и проведение работ в области изучения фундаментальных свойств, структуры и механизмов трансформации растительных биополимеров древесного происхождения в природных условиях Европейского Севера России и технологических процессах.</w:t>
            </w:r>
            <w:proofErr w:type="gramEnd"/>
          </w:p>
          <w:p w:rsidR="00CA6D5C" w:rsidRPr="00504091" w:rsidRDefault="00CA6D5C" w:rsidP="00504091">
            <w:pPr>
              <w:pStyle w:val="a3"/>
              <w:tabs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5C" w:rsidRPr="0012664F" w:rsidRDefault="00CA6D5C" w:rsidP="0012664F">
            <w:pPr>
              <w:shd w:val="clear" w:color="auto" w:fill="FFFFFF"/>
              <w:jc w:val="center"/>
              <w:rPr>
                <w:bCs/>
              </w:rPr>
            </w:pPr>
            <w:r w:rsidRPr="0012664F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5C" w:rsidRPr="0012664F" w:rsidRDefault="00CA6D5C" w:rsidP="0012664F">
            <w:pPr>
              <w:jc w:val="center"/>
            </w:pPr>
            <w:r w:rsidRPr="0012664F">
              <w:t xml:space="preserve">Комитет поддерживает </w:t>
            </w:r>
            <w:r w:rsidRPr="0012664F">
              <w:rPr>
                <w:bCs/>
              </w:rPr>
              <w:t>ходатайство о награждении</w:t>
            </w:r>
          </w:p>
          <w:p w:rsidR="00CA6D5C" w:rsidRPr="0012664F" w:rsidRDefault="00CA6D5C" w:rsidP="0012664F">
            <w:pPr>
              <w:jc w:val="center"/>
            </w:pPr>
          </w:p>
        </w:tc>
      </w:tr>
      <w:tr w:rsidR="00504091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504091" w:rsidRDefault="00342287" w:rsidP="00E37CD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504091" w:rsidRPr="00504091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504091" w:rsidRDefault="00504091" w:rsidP="00504091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04091">
              <w:rPr>
                <w:sz w:val="24"/>
                <w:szCs w:val="24"/>
              </w:rPr>
              <w:t xml:space="preserve">Рассмотрение ходатайства </w:t>
            </w:r>
            <w:r w:rsidRPr="00504091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504091">
              <w:rPr>
                <w:sz w:val="24"/>
                <w:szCs w:val="24"/>
              </w:rPr>
              <w:t xml:space="preserve">АО «Центр судоремонта «Звездочка» Н.Я. Калистратова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АО «Центр судоремонта «Звездочка» за многолетний добросовестный труд, большой личный вклад в реализацию производственной программы общества, обеспечение своевременной сдачи заказов ВМФ России и в связи с 45-летием </w:t>
            </w:r>
            <w:proofErr w:type="spellStart"/>
            <w:r w:rsidRPr="00504091">
              <w:rPr>
                <w:sz w:val="24"/>
                <w:szCs w:val="24"/>
              </w:rPr>
              <w:t>окрасочно-</w:t>
            </w:r>
            <w:r w:rsidRPr="00504091">
              <w:rPr>
                <w:sz w:val="24"/>
                <w:szCs w:val="24"/>
              </w:rPr>
              <w:lastRenderedPageBreak/>
              <w:t>гуммировочного</w:t>
            </w:r>
            <w:proofErr w:type="spellEnd"/>
            <w:r w:rsidRPr="00504091">
              <w:rPr>
                <w:sz w:val="24"/>
                <w:szCs w:val="24"/>
              </w:rPr>
              <w:t xml:space="preserve"> цеха</w:t>
            </w:r>
            <w:proofErr w:type="gramEnd"/>
          </w:p>
          <w:p w:rsidR="00504091" w:rsidRPr="00504091" w:rsidRDefault="00504091" w:rsidP="00504091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504091" w:rsidRPr="00504091" w:rsidRDefault="00504091" w:rsidP="00504091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504091" w:rsidRDefault="00504091" w:rsidP="00504091">
            <w:r w:rsidRPr="00504091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504091" w:rsidRDefault="00504091" w:rsidP="00504091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04091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504091">
              <w:rPr>
                <w:sz w:val="24"/>
                <w:szCs w:val="24"/>
              </w:rPr>
              <w:t>АО «Центр судоремонта «Звездочка» Н.Я. Калистратова:</w:t>
            </w:r>
          </w:p>
          <w:p w:rsidR="00504091" w:rsidRPr="00504091" w:rsidRDefault="00504091" w:rsidP="00504091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 Михеева Алексея Викторовича, заместителя начальника цеха АО «Центр судоремонта «Звездочка»;</w:t>
            </w:r>
          </w:p>
          <w:p w:rsidR="00504091" w:rsidRPr="00504091" w:rsidRDefault="00504091" w:rsidP="00504091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 Ананьеву Сергею Николаевичу, гуммировщику судовому АО «Центр судоремонта «Звездочка».</w:t>
            </w:r>
          </w:p>
          <w:p w:rsidR="00504091" w:rsidRPr="00504091" w:rsidRDefault="00504091" w:rsidP="00504091">
            <w:pPr>
              <w:pStyle w:val="a3"/>
              <w:tabs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91" w:rsidRPr="0012664F" w:rsidRDefault="00504091" w:rsidP="00B721B4">
            <w:pPr>
              <w:shd w:val="clear" w:color="auto" w:fill="FFFFFF"/>
              <w:jc w:val="center"/>
              <w:rPr>
                <w:bCs/>
              </w:rPr>
            </w:pPr>
            <w:r w:rsidRPr="0012664F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12664F" w:rsidRDefault="00504091" w:rsidP="00B721B4">
            <w:pPr>
              <w:jc w:val="center"/>
            </w:pPr>
            <w:r w:rsidRPr="0012664F">
              <w:t xml:space="preserve">Комитет поддерживает </w:t>
            </w:r>
            <w:r w:rsidRPr="0012664F">
              <w:rPr>
                <w:bCs/>
              </w:rPr>
              <w:t>ходатайство о награждении</w:t>
            </w:r>
          </w:p>
          <w:p w:rsidR="00504091" w:rsidRPr="0012664F" w:rsidRDefault="00504091" w:rsidP="00B721B4">
            <w:pPr>
              <w:jc w:val="center"/>
            </w:pPr>
          </w:p>
        </w:tc>
      </w:tr>
      <w:tr w:rsidR="008A6754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54" w:rsidRPr="00185FD2" w:rsidRDefault="008A6754" w:rsidP="00946735">
            <w:pPr>
              <w:pStyle w:val="a3"/>
              <w:jc w:val="center"/>
              <w:rPr>
                <w:sz w:val="24"/>
                <w:szCs w:val="24"/>
              </w:rPr>
            </w:pPr>
          </w:p>
          <w:p w:rsidR="008A6754" w:rsidRPr="00185FD2" w:rsidRDefault="008A6754" w:rsidP="00FC64A7">
            <w: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54" w:rsidRPr="0012664F" w:rsidRDefault="008A6754" w:rsidP="0012664F">
            <w:pPr>
              <w:tabs>
                <w:tab w:val="left" w:pos="993"/>
              </w:tabs>
              <w:contextualSpacing/>
              <w:jc w:val="center"/>
            </w:pPr>
            <w:r w:rsidRPr="00504091">
              <w:t>Рассмотрение ходатайства</w:t>
            </w:r>
            <w:r>
              <w:rPr>
                <w:bCs/>
                <w:szCs w:val="28"/>
              </w:rPr>
              <w:t xml:space="preserve"> директора </w:t>
            </w:r>
            <w:r>
              <w:rPr>
                <w:szCs w:val="28"/>
              </w:rPr>
              <w:t>ООО «Ремонтно-эксплуатационное предприятие «</w:t>
            </w:r>
            <w:proofErr w:type="spellStart"/>
            <w:r>
              <w:rPr>
                <w:szCs w:val="28"/>
              </w:rPr>
              <w:t>Шенкурское</w:t>
            </w:r>
            <w:proofErr w:type="spellEnd"/>
            <w:r>
              <w:rPr>
                <w:szCs w:val="28"/>
              </w:rPr>
              <w:t>» А.В. Спиридонова по награждению Почетной грамотой Архангельского областного Собрания депутатов</w:t>
            </w:r>
            <w:r w:rsidRPr="006B33E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Долгобородова</w:t>
            </w:r>
            <w:proofErr w:type="spellEnd"/>
            <w:r>
              <w:rPr>
                <w:szCs w:val="28"/>
              </w:rPr>
              <w:t xml:space="preserve"> Павла Аркадьевича, водителя ООО «Ремонтно-эксплуатационное предприятие «</w:t>
            </w:r>
            <w:proofErr w:type="spellStart"/>
            <w:r>
              <w:rPr>
                <w:szCs w:val="28"/>
              </w:rPr>
              <w:t>Шенкурское</w:t>
            </w:r>
            <w:proofErr w:type="spellEnd"/>
            <w:r>
              <w:rPr>
                <w:szCs w:val="28"/>
              </w:rPr>
              <w:t>», за многолетний добросовестный труд и в связи с 55-летним юбилеем.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54" w:rsidRPr="00504091" w:rsidRDefault="008A6754" w:rsidP="00AB17A1">
            <w:r w:rsidRPr="00504091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54" w:rsidRPr="00504091" w:rsidRDefault="008A6754" w:rsidP="00AB17A1">
            <w:pPr>
              <w:pStyle w:val="a3"/>
              <w:tabs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504091">
              <w:rPr>
                <w:bCs/>
                <w:sz w:val="24"/>
                <w:szCs w:val="24"/>
              </w:rPr>
              <w:t xml:space="preserve">ходатайство </w:t>
            </w:r>
            <w:r>
              <w:rPr>
                <w:bCs/>
                <w:szCs w:val="28"/>
              </w:rPr>
              <w:t xml:space="preserve">директора </w:t>
            </w:r>
            <w:r>
              <w:rPr>
                <w:szCs w:val="28"/>
              </w:rPr>
              <w:t>ООО «Ремонтно-эксплуатационное предприятие «</w:t>
            </w:r>
            <w:proofErr w:type="spellStart"/>
            <w:r>
              <w:rPr>
                <w:szCs w:val="28"/>
              </w:rPr>
              <w:t>Шенкурское</w:t>
            </w:r>
            <w:proofErr w:type="spellEnd"/>
            <w:r>
              <w:rPr>
                <w:szCs w:val="28"/>
              </w:rPr>
              <w:t>» А.В. Спиридонова по награждению Почетной грамотой Архангельского областного Собрания депутатов</w:t>
            </w:r>
            <w:r w:rsidRPr="006B33E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Долгобородова</w:t>
            </w:r>
            <w:proofErr w:type="spellEnd"/>
            <w:r>
              <w:rPr>
                <w:szCs w:val="28"/>
              </w:rPr>
              <w:t xml:space="preserve"> Павла Аркадьевича, водителя ООО «Ремонтно-эксплуатационное предприятие «</w:t>
            </w:r>
            <w:proofErr w:type="spellStart"/>
            <w:r>
              <w:rPr>
                <w:szCs w:val="28"/>
              </w:rPr>
              <w:t>Шенкурское</w:t>
            </w:r>
            <w:proofErr w:type="spellEnd"/>
            <w:r>
              <w:rPr>
                <w:szCs w:val="28"/>
              </w:rPr>
              <w:t>», за многолетний добросовестный труд и в связи с 55-летним юбилеем.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54" w:rsidRPr="0012664F" w:rsidRDefault="008A6754" w:rsidP="00AB17A1">
            <w:pPr>
              <w:shd w:val="clear" w:color="auto" w:fill="FFFFFF"/>
              <w:jc w:val="center"/>
              <w:rPr>
                <w:bCs/>
              </w:rPr>
            </w:pPr>
            <w:r w:rsidRPr="0012664F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54" w:rsidRPr="0012664F" w:rsidRDefault="008A6754" w:rsidP="00AB17A1">
            <w:pPr>
              <w:jc w:val="center"/>
            </w:pPr>
            <w:r w:rsidRPr="0012664F">
              <w:t xml:space="preserve">Комитет поддерживает </w:t>
            </w:r>
            <w:r w:rsidRPr="0012664F">
              <w:rPr>
                <w:bCs/>
              </w:rPr>
              <w:t>ходатайство о награждении</w:t>
            </w:r>
          </w:p>
          <w:p w:rsidR="008A6754" w:rsidRPr="0012664F" w:rsidRDefault="008A6754" w:rsidP="00AB17A1">
            <w:pPr>
              <w:jc w:val="center"/>
            </w:pPr>
          </w:p>
        </w:tc>
      </w:tr>
      <w:tr w:rsidR="00E857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8D" w:rsidRPr="00185FD2" w:rsidRDefault="00E8578D" w:rsidP="009467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8D" w:rsidRPr="00504091" w:rsidRDefault="00E8578D" w:rsidP="00E8578D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504091">
              <w:rPr>
                <w:sz w:val="24"/>
                <w:szCs w:val="24"/>
              </w:rPr>
              <w:t xml:space="preserve">Рассмотрение ходатайства </w:t>
            </w:r>
            <w:r w:rsidRPr="00504091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504091">
              <w:rPr>
                <w:sz w:val="24"/>
                <w:szCs w:val="24"/>
              </w:rPr>
              <w:t xml:space="preserve">АО «Центр судоремонта «Звездочка» Н.Я. Калистратова о награждении Почетной грамотой Архангельского областного Собрания депутатов и объявлении Благодарности Архангельского областного Собрания </w:t>
            </w:r>
            <w:r w:rsidRPr="00504091">
              <w:rPr>
                <w:sz w:val="24"/>
                <w:szCs w:val="24"/>
              </w:rPr>
              <w:lastRenderedPageBreak/>
              <w:t xml:space="preserve">депутатов работникам АО «Центр судоремонта «Звездочка» </w:t>
            </w:r>
          </w:p>
          <w:p w:rsidR="00E8578D" w:rsidRPr="00504091" w:rsidRDefault="00E8578D" w:rsidP="00E8578D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E8578D" w:rsidRPr="00504091" w:rsidRDefault="00E8578D" w:rsidP="0012664F">
            <w:pPr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8D" w:rsidRPr="00504091" w:rsidRDefault="00E8578D" w:rsidP="008B4EC7">
            <w:r w:rsidRPr="00504091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8D" w:rsidRPr="00B776FC" w:rsidRDefault="00E8578D" w:rsidP="008B4EC7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>В адрес комитета по промышленной политике, трансп</w:t>
            </w:r>
            <w:r w:rsidRPr="00B776FC">
              <w:rPr>
                <w:sz w:val="24"/>
                <w:szCs w:val="24"/>
              </w:rPr>
              <w:t>орту, связи и экологии поступили</w:t>
            </w:r>
            <w:r w:rsidRPr="00B776FC">
              <w:rPr>
                <w:sz w:val="24"/>
                <w:szCs w:val="24"/>
              </w:rPr>
              <w:t xml:space="preserve"> </w:t>
            </w:r>
            <w:r w:rsidRPr="00B776FC">
              <w:rPr>
                <w:bCs/>
                <w:sz w:val="24"/>
                <w:szCs w:val="24"/>
              </w:rPr>
              <w:t>ходатайства</w:t>
            </w:r>
            <w:r w:rsidRPr="00B776FC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B776FC">
              <w:rPr>
                <w:sz w:val="24"/>
                <w:szCs w:val="24"/>
              </w:rPr>
              <w:t>АО «Центр судоремонта «Звездочка» Н.Я. Калистратова:</w:t>
            </w:r>
          </w:p>
          <w:p w:rsidR="00F93FB5" w:rsidRPr="00B776FC" w:rsidRDefault="00F93FB5" w:rsidP="00F93FB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F93FB5" w:rsidRPr="00B776FC" w:rsidRDefault="00F93FB5" w:rsidP="00F93FB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 xml:space="preserve"> - Тарасова Евгения Эдуардовича – инженера по наладке и испытаниям АО «Центр судоремонта «Звездочка» - за добросовестный труд, весомый личный вклад в поддержание боеготовности ВМФ России, реализацию производственной программы Общества и в связи с 45-летием цеха ремонта и монтажа систем контроля, автоматики и вооружения АО «Центр судоремонта «Звездочка»;</w:t>
            </w:r>
          </w:p>
          <w:p w:rsidR="00F93FB5" w:rsidRPr="00B776FC" w:rsidRDefault="00F93FB5" w:rsidP="00F93FB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776FC">
              <w:rPr>
                <w:sz w:val="24"/>
                <w:szCs w:val="24"/>
              </w:rPr>
              <w:t>Дзюнина</w:t>
            </w:r>
            <w:proofErr w:type="spellEnd"/>
            <w:r w:rsidRPr="00B776FC">
              <w:rPr>
                <w:sz w:val="24"/>
                <w:szCs w:val="24"/>
              </w:rPr>
              <w:t xml:space="preserve"> Роберта Юрьевича – </w:t>
            </w:r>
            <w:proofErr w:type="spellStart"/>
            <w:r w:rsidRPr="00B776FC">
              <w:rPr>
                <w:sz w:val="24"/>
                <w:szCs w:val="24"/>
              </w:rPr>
              <w:t>сборщика-достройщика</w:t>
            </w:r>
            <w:proofErr w:type="spellEnd"/>
            <w:r w:rsidRPr="00B776FC">
              <w:rPr>
                <w:sz w:val="24"/>
                <w:szCs w:val="24"/>
              </w:rPr>
              <w:t xml:space="preserve"> судового          АО «Центр судоремонта «Звездочка» - за многолетний добросовестный труд, весомый личный вклад в реализацию производственной программы Общества и в связи с 50-летием со дня основания достроечного цеха АО «Центр судоремонта «Звездочка»;</w:t>
            </w:r>
          </w:p>
          <w:p w:rsidR="00F93FB5" w:rsidRPr="00B776FC" w:rsidRDefault="00F93FB5" w:rsidP="00F93FB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F93FB5" w:rsidRPr="00B776FC" w:rsidRDefault="00F93FB5" w:rsidP="00F93FB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>- Михайлову Виктору Георгиевичу – слесарю-судоремонтнику               АО «Центр судоремонта «Звездочка» - за добросовестный труд, весомый личный вклад в поддержание боеготовности ВМФ России, реализацию производственной программы Общества и в связи с 45-летием цеха ремонта и монтажа систем контроля, автоматики и вооружения АО «Центр судоремонта «Звездочка»;</w:t>
            </w:r>
          </w:p>
          <w:p w:rsidR="00F93FB5" w:rsidRPr="00B776FC" w:rsidRDefault="00F93FB5" w:rsidP="00F93FB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 xml:space="preserve">- </w:t>
            </w:r>
            <w:proofErr w:type="spellStart"/>
            <w:r w:rsidRPr="00B776FC">
              <w:rPr>
                <w:sz w:val="24"/>
                <w:szCs w:val="24"/>
              </w:rPr>
              <w:t>Рашову</w:t>
            </w:r>
            <w:proofErr w:type="spellEnd"/>
            <w:r w:rsidRPr="00B776FC">
              <w:rPr>
                <w:sz w:val="24"/>
                <w:szCs w:val="24"/>
              </w:rPr>
              <w:t xml:space="preserve"> Сергею Аркадьевичу – слесарю-монтажнику судовому              АО «Центр судоремонта «Звездочка» - за добросовестный труд, весомый личный вклад в поддержание боеготовности ВМФ России, реализацию производственной программы Общества и в связи с 45-летием цеха ремонта и монтажа систем контроля, автоматики и вооружения АО «Центр судоремонта «Звездочка»;</w:t>
            </w:r>
          </w:p>
          <w:p w:rsidR="00F93FB5" w:rsidRPr="00B776FC" w:rsidRDefault="00F93FB5" w:rsidP="00F93FB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B776FC">
              <w:rPr>
                <w:sz w:val="24"/>
                <w:szCs w:val="24"/>
              </w:rPr>
              <w:t xml:space="preserve">- </w:t>
            </w:r>
            <w:proofErr w:type="spellStart"/>
            <w:r w:rsidRPr="00B776FC">
              <w:rPr>
                <w:sz w:val="24"/>
                <w:szCs w:val="24"/>
              </w:rPr>
              <w:t>Куканову</w:t>
            </w:r>
            <w:proofErr w:type="spellEnd"/>
            <w:r w:rsidRPr="00B776FC">
              <w:rPr>
                <w:sz w:val="24"/>
                <w:szCs w:val="24"/>
              </w:rPr>
              <w:t xml:space="preserve"> Игорю Александровичу – мастеру АО «Центр судоремонта «Звездочка» - за многолетний добросовестный труд, весомый личный вклад в реализацию производственной программы Общества и в связи с 50-летием со дня основания достроечного цеха АО «Центр судоремонта «Звездочка».</w:t>
            </w:r>
          </w:p>
          <w:p w:rsidR="00F93FB5" w:rsidRPr="00B776FC" w:rsidRDefault="00F93FB5" w:rsidP="00F93FB5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E8578D" w:rsidRPr="00504091" w:rsidRDefault="00E8578D" w:rsidP="008B4EC7">
            <w:pPr>
              <w:pStyle w:val="a3"/>
              <w:tabs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8D" w:rsidRPr="0012664F" w:rsidRDefault="00E8578D" w:rsidP="008B4EC7">
            <w:pPr>
              <w:shd w:val="clear" w:color="auto" w:fill="FFFFFF"/>
              <w:jc w:val="center"/>
              <w:rPr>
                <w:bCs/>
              </w:rPr>
            </w:pPr>
            <w:r w:rsidRPr="0012664F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8D" w:rsidRPr="0012664F" w:rsidRDefault="00E8578D" w:rsidP="008B4EC7">
            <w:pPr>
              <w:jc w:val="center"/>
            </w:pPr>
            <w:r w:rsidRPr="0012664F">
              <w:t xml:space="preserve">Комитет поддерживает </w:t>
            </w:r>
            <w:r w:rsidRPr="0012664F">
              <w:rPr>
                <w:bCs/>
              </w:rPr>
              <w:t>ходатайство о награждении</w:t>
            </w:r>
          </w:p>
          <w:p w:rsidR="00E8578D" w:rsidRPr="0012664F" w:rsidRDefault="00E8578D" w:rsidP="008B4EC7">
            <w:pPr>
              <w:jc w:val="center"/>
            </w:pP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F39"/>
    <w:multiLevelType w:val="hybridMultilevel"/>
    <w:tmpl w:val="E370D8A0"/>
    <w:lvl w:ilvl="0" w:tplc="8C38B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65DC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85BBA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17CEE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3553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2208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6519B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3511F7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D7D69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9E19B3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D34F6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D518CD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CB271F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212F81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26"/>
  </w:num>
  <w:num w:numId="7">
    <w:abstractNumId w:val="3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3"/>
  </w:num>
  <w:num w:numId="15">
    <w:abstractNumId w:val="1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9"/>
  </w:num>
  <w:num w:numId="19">
    <w:abstractNumId w:val="19"/>
  </w:num>
  <w:num w:numId="20">
    <w:abstractNumId w:val="32"/>
  </w:num>
  <w:num w:numId="21">
    <w:abstractNumId w:val="4"/>
  </w:num>
  <w:num w:numId="22">
    <w:abstractNumId w:val="25"/>
  </w:num>
  <w:num w:numId="23">
    <w:abstractNumId w:val="17"/>
  </w:num>
  <w:num w:numId="24">
    <w:abstractNumId w:val="8"/>
  </w:num>
  <w:num w:numId="25">
    <w:abstractNumId w:val="6"/>
  </w:num>
  <w:num w:numId="26">
    <w:abstractNumId w:val="3"/>
  </w:num>
  <w:num w:numId="27">
    <w:abstractNumId w:val="1"/>
  </w:num>
  <w:num w:numId="28">
    <w:abstractNumId w:val="14"/>
  </w:num>
  <w:num w:numId="29">
    <w:abstractNumId w:val="34"/>
  </w:num>
  <w:num w:numId="30">
    <w:abstractNumId w:val="5"/>
  </w:num>
  <w:num w:numId="31">
    <w:abstractNumId w:val="22"/>
  </w:num>
  <w:num w:numId="32">
    <w:abstractNumId w:val="20"/>
  </w:num>
  <w:num w:numId="33">
    <w:abstractNumId w:val="29"/>
  </w:num>
  <w:num w:numId="34">
    <w:abstractNumId w:val="21"/>
  </w:num>
  <w:num w:numId="35">
    <w:abstractNumId w:val="24"/>
  </w:num>
  <w:num w:numId="36">
    <w:abstractNumId w:val="28"/>
  </w:num>
  <w:num w:numId="37">
    <w:abstractNumId w:val="33"/>
  </w:num>
  <w:num w:numId="38">
    <w:abstractNumId w:val="3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38C7"/>
    <w:rsid w:val="00027A86"/>
    <w:rsid w:val="00055F04"/>
    <w:rsid w:val="00066862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306B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570A"/>
    <w:rsid w:val="001B115B"/>
    <w:rsid w:val="001B15A4"/>
    <w:rsid w:val="001B7713"/>
    <w:rsid w:val="001C131E"/>
    <w:rsid w:val="001E58DE"/>
    <w:rsid w:val="001F14FF"/>
    <w:rsid w:val="002048DB"/>
    <w:rsid w:val="00207033"/>
    <w:rsid w:val="00227C35"/>
    <w:rsid w:val="00241B4A"/>
    <w:rsid w:val="00287C43"/>
    <w:rsid w:val="002A39F6"/>
    <w:rsid w:val="002A58EA"/>
    <w:rsid w:val="002A5D4A"/>
    <w:rsid w:val="002C2C15"/>
    <w:rsid w:val="002D5195"/>
    <w:rsid w:val="002F0EE6"/>
    <w:rsid w:val="002F3CA5"/>
    <w:rsid w:val="00320D00"/>
    <w:rsid w:val="00335C45"/>
    <w:rsid w:val="00342287"/>
    <w:rsid w:val="0035091A"/>
    <w:rsid w:val="003643CB"/>
    <w:rsid w:val="003A54C7"/>
    <w:rsid w:val="003B45FF"/>
    <w:rsid w:val="003C40E8"/>
    <w:rsid w:val="003D5D80"/>
    <w:rsid w:val="003D641D"/>
    <w:rsid w:val="003F3EA1"/>
    <w:rsid w:val="00402D7E"/>
    <w:rsid w:val="00403F0C"/>
    <w:rsid w:val="004059BA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4091"/>
    <w:rsid w:val="005054C0"/>
    <w:rsid w:val="00510C5F"/>
    <w:rsid w:val="00512219"/>
    <w:rsid w:val="0052452A"/>
    <w:rsid w:val="00527151"/>
    <w:rsid w:val="00527303"/>
    <w:rsid w:val="005477C0"/>
    <w:rsid w:val="00571B7E"/>
    <w:rsid w:val="005772AC"/>
    <w:rsid w:val="00581C8E"/>
    <w:rsid w:val="0059140C"/>
    <w:rsid w:val="005934D8"/>
    <w:rsid w:val="005A0463"/>
    <w:rsid w:val="005B0F73"/>
    <w:rsid w:val="005B3B9D"/>
    <w:rsid w:val="005C4B45"/>
    <w:rsid w:val="005D7C9F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0076C"/>
    <w:rsid w:val="00715FBF"/>
    <w:rsid w:val="00717B0B"/>
    <w:rsid w:val="007514A1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7F566A"/>
    <w:rsid w:val="0080248A"/>
    <w:rsid w:val="00810B50"/>
    <w:rsid w:val="00820C0E"/>
    <w:rsid w:val="008238E9"/>
    <w:rsid w:val="00824102"/>
    <w:rsid w:val="008550BD"/>
    <w:rsid w:val="00855FE9"/>
    <w:rsid w:val="008631E8"/>
    <w:rsid w:val="0086778C"/>
    <w:rsid w:val="008A6754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700FF"/>
    <w:rsid w:val="00970B09"/>
    <w:rsid w:val="009726F6"/>
    <w:rsid w:val="009755A8"/>
    <w:rsid w:val="00980C1A"/>
    <w:rsid w:val="00985559"/>
    <w:rsid w:val="009B1E7B"/>
    <w:rsid w:val="009C4001"/>
    <w:rsid w:val="009C413D"/>
    <w:rsid w:val="009D229D"/>
    <w:rsid w:val="009D4E95"/>
    <w:rsid w:val="009E2462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776FC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A25A4"/>
    <w:rsid w:val="00DA63F5"/>
    <w:rsid w:val="00DD6F35"/>
    <w:rsid w:val="00DD7DCA"/>
    <w:rsid w:val="00DE0DB6"/>
    <w:rsid w:val="00DE777C"/>
    <w:rsid w:val="00E10290"/>
    <w:rsid w:val="00E37CD2"/>
    <w:rsid w:val="00E517A9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412E5"/>
    <w:rsid w:val="00F81938"/>
    <w:rsid w:val="00F93FB5"/>
    <w:rsid w:val="00FA0F53"/>
    <w:rsid w:val="00FA5C18"/>
    <w:rsid w:val="00FB3356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ozd2.duma.gov.ru/main.nsf/(Spravka)?OpenAgent&amp;RN=1067868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ozd2.duma.gov.ru/main.nsf/(Spravka)?OpenAgent&amp;RN=1067868-6" TargetMode="External"/><Relationship Id="rId5" Type="http://schemas.openxmlformats.org/officeDocument/2006/relationships/hyperlink" Target="http://asozd2.duma.gov.ru/main.nsf/(Spravka)?OpenAgent&amp;RN=1067868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8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191</cp:revision>
  <dcterms:created xsi:type="dcterms:W3CDTF">2014-02-05T13:47:00Z</dcterms:created>
  <dcterms:modified xsi:type="dcterms:W3CDTF">2017-02-14T12:50:00Z</dcterms:modified>
</cp:coreProperties>
</file>