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D6" w:rsidRPr="00935BD6" w:rsidRDefault="00935BD6" w:rsidP="00935BD6">
      <w:pPr>
        <w:spacing w:after="120"/>
        <w:jc w:val="right"/>
        <w:rPr>
          <w:b/>
        </w:rPr>
      </w:pPr>
      <w:r w:rsidRPr="00935BD6">
        <w:rPr>
          <w:b/>
        </w:rPr>
        <w:t>Н.В.Лещинская</w:t>
      </w:r>
    </w:p>
    <w:p w:rsidR="00D06D0A" w:rsidRPr="00935BD6" w:rsidRDefault="00935BD6" w:rsidP="00935BD6">
      <w:pPr>
        <w:spacing w:after="120"/>
        <w:jc w:val="center"/>
        <w:rPr>
          <w:b/>
        </w:rPr>
      </w:pPr>
      <w:r w:rsidRPr="00935BD6">
        <w:rPr>
          <w:b/>
        </w:rPr>
        <w:t>Тезисы доклада</w:t>
      </w:r>
    </w:p>
    <w:p w:rsidR="00371558" w:rsidRPr="00935BD6" w:rsidRDefault="00371558" w:rsidP="00935BD6">
      <w:pPr>
        <w:spacing w:after="120"/>
        <w:jc w:val="center"/>
        <w:rPr>
          <w:b/>
        </w:rPr>
      </w:pPr>
      <w:r w:rsidRPr="00935BD6">
        <w:rPr>
          <w:b/>
        </w:rPr>
        <w:t>"Гигиенические проблемы состояния питьевой воды и системы водоснабжения в регионах и влияние качества воды на здоровье населения"</w:t>
      </w:r>
    </w:p>
    <w:p w:rsidR="0049218B" w:rsidRPr="00935BD6" w:rsidRDefault="0049218B" w:rsidP="00935BD6">
      <w:pPr>
        <w:spacing w:after="120"/>
        <w:jc w:val="center"/>
        <w:rPr>
          <w:b/>
        </w:rPr>
      </w:pPr>
    </w:p>
    <w:p w:rsidR="0049218B" w:rsidRPr="00935BD6" w:rsidRDefault="00FD22EE" w:rsidP="00935BD6">
      <w:pPr>
        <w:spacing w:after="120"/>
        <w:jc w:val="center"/>
        <w:rPr>
          <w:i/>
        </w:rPr>
      </w:pPr>
      <w:r w:rsidRPr="00935BD6">
        <w:rPr>
          <w:i/>
        </w:rPr>
        <w:t>18-20 марта</w:t>
      </w:r>
      <w:r w:rsidR="0049218B" w:rsidRPr="00935BD6">
        <w:rPr>
          <w:i/>
        </w:rPr>
        <w:t xml:space="preserve"> 201</w:t>
      </w:r>
      <w:r w:rsidRPr="00935BD6">
        <w:rPr>
          <w:i/>
        </w:rPr>
        <w:t>5</w:t>
      </w:r>
      <w:r w:rsidR="0049218B" w:rsidRPr="00935BD6">
        <w:rPr>
          <w:i/>
        </w:rPr>
        <w:t xml:space="preserve"> года                                                                                 г. </w:t>
      </w:r>
      <w:r w:rsidR="00702BD8" w:rsidRPr="00935BD6">
        <w:rPr>
          <w:i/>
        </w:rPr>
        <w:t>Санкт-Петербург</w:t>
      </w:r>
    </w:p>
    <w:p w:rsidR="00D101A7" w:rsidRPr="00935BD6" w:rsidRDefault="00D101A7" w:rsidP="00935BD6">
      <w:pPr>
        <w:pStyle w:val="a8"/>
        <w:spacing w:after="120"/>
        <w:ind w:firstLine="709"/>
        <w:rPr>
          <w:sz w:val="24"/>
        </w:rPr>
      </w:pPr>
    </w:p>
    <w:p w:rsidR="00990AE4" w:rsidRPr="00935BD6" w:rsidRDefault="00A5506D" w:rsidP="00935BD6">
      <w:pPr>
        <w:pStyle w:val="a8"/>
        <w:spacing w:after="120"/>
        <w:ind w:firstLine="709"/>
        <w:rPr>
          <w:sz w:val="24"/>
        </w:rPr>
      </w:pPr>
      <w:r w:rsidRPr="00935BD6">
        <w:rPr>
          <w:sz w:val="24"/>
        </w:rPr>
        <w:t>П</w:t>
      </w:r>
      <w:r w:rsidR="00D101A7" w:rsidRPr="00935BD6">
        <w:rPr>
          <w:sz w:val="24"/>
        </w:rPr>
        <w:t xml:space="preserve">роблемы охраны окружающей среды, вопросы экологической безопасности </w:t>
      </w:r>
      <w:r w:rsidRPr="00935BD6">
        <w:rPr>
          <w:sz w:val="24"/>
        </w:rPr>
        <w:t xml:space="preserve">в наше время </w:t>
      </w:r>
      <w:r w:rsidR="00D101A7" w:rsidRPr="00935BD6">
        <w:rPr>
          <w:sz w:val="24"/>
        </w:rPr>
        <w:t>приобретают все большую остроту и актуальность.</w:t>
      </w:r>
      <w:r w:rsidR="00990AE4" w:rsidRPr="00935BD6">
        <w:rPr>
          <w:sz w:val="24"/>
        </w:rPr>
        <w:t xml:space="preserve"> </w:t>
      </w:r>
      <w:r w:rsidRPr="00935BD6">
        <w:rPr>
          <w:sz w:val="24"/>
        </w:rPr>
        <w:t xml:space="preserve">На здоровье населения в числе прочих факторов, </w:t>
      </w:r>
      <w:r w:rsidR="00990AE4" w:rsidRPr="00935BD6">
        <w:rPr>
          <w:sz w:val="24"/>
        </w:rPr>
        <w:t>оказывает влияние окружающая его среда.</w:t>
      </w:r>
    </w:p>
    <w:p w:rsidR="00990AE4" w:rsidRPr="00935BD6" w:rsidRDefault="00990AE4" w:rsidP="00935BD6">
      <w:pPr>
        <w:spacing w:after="120"/>
        <w:ind w:firstLine="709"/>
        <w:jc w:val="both"/>
      </w:pPr>
      <w:r w:rsidRPr="00935BD6">
        <w:t xml:space="preserve">Наиболее актуальными проблемами в обеспечении санитарно-эпидемиологического благополучия населения Мурманской области, выявленными в ходе работы проведенной в соответствии с постановлением Правительства Российской Федерации от 02.06.2006 № 60 </w:t>
      </w:r>
      <w:r w:rsidR="00FD22EE" w:rsidRPr="00935BD6">
        <w:t>"</w:t>
      </w:r>
      <w:r w:rsidRPr="00935BD6">
        <w:t>Об утверждении Положения о проведении социально-гигиенического мониторинга</w:t>
      </w:r>
      <w:r w:rsidR="00FD22EE" w:rsidRPr="00935BD6">
        <w:t>"</w:t>
      </w:r>
      <w:r w:rsidRPr="00935BD6">
        <w:t xml:space="preserve"> на основе данных социально-гигиенического мониторинга являются:</w:t>
      </w:r>
    </w:p>
    <w:p w:rsidR="00990AE4" w:rsidRPr="00935BD6" w:rsidRDefault="00990AE4" w:rsidP="00935BD6">
      <w:pPr>
        <w:spacing w:after="120"/>
        <w:ind w:firstLine="709"/>
        <w:jc w:val="both"/>
      </w:pPr>
      <w:r w:rsidRPr="00935BD6">
        <w:t>- состояние атмосферного воздуха Мурманской области;</w:t>
      </w:r>
    </w:p>
    <w:p w:rsidR="00990AE4" w:rsidRPr="00935BD6" w:rsidRDefault="00990AE4" w:rsidP="00935BD6">
      <w:pPr>
        <w:spacing w:after="120"/>
        <w:ind w:firstLine="709"/>
        <w:jc w:val="both"/>
      </w:pPr>
      <w:r w:rsidRPr="00935BD6">
        <w:t xml:space="preserve">- состояние питьевой воды систем централизованного хозяйственно - питьевого водоснабжения; </w:t>
      </w:r>
    </w:p>
    <w:p w:rsidR="00990AE4" w:rsidRPr="00935BD6" w:rsidRDefault="00990AE4" w:rsidP="00935BD6">
      <w:pPr>
        <w:spacing w:after="120"/>
        <w:ind w:firstLine="709"/>
        <w:jc w:val="both"/>
      </w:pPr>
      <w:r w:rsidRPr="00935BD6">
        <w:t>- санитарно-эпидемиологическая безопасность почвы населенных мест.</w:t>
      </w:r>
    </w:p>
    <w:p w:rsidR="00C15EEA" w:rsidRPr="00935BD6" w:rsidRDefault="00C15EEA" w:rsidP="00935BD6">
      <w:pPr>
        <w:spacing w:after="120"/>
        <w:ind w:firstLine="709"/>
        <w:jc w:val="both"/>
      </w:pPr>
      <w:r w:rsidRPr="00935BD6">
        <w:t xml:space="preserve">Вопрос обеспечения качественной питьевой водой населения актуален для большинства </w:t>
      </w:r>
      <w:r w:rsidR="00FD22EE" w:rsidRPr="00935BD6">
        <w:t>р</w:t>
      </w:r>
      <w:r w:rsidRPr="00935BD6">
        <w:t>егионов Р</w:t>
      </w:r>
      <w:r w:rsidR="00FD22EE" w:rsidRPr="00935BD6">
        <w:t>оссийской Федерации</w:t>
      </w:r>
      <w:r w:rsidRPr="00935BD6">
        <w:t>. В большинстве регионов Российской Федерации качество питьевой воды оставляет желать лучшего. Проблема заключается не только в способе очистки, для которой используется хлор, как самый дешевый способ обеззараживания. Сама система водопровода находится в плачевном состоянии. Зачастую в питьевой воде, доходящей до потребителя, содержатся примеси тяжелых металлов и инородных частиц, употребление которых опасно для здоровья.</w:t>
      </w:r>
    </w:p>
    <w:p w:rsidR="004E3C91" w:rsidRPr="00935BD6" w:rsidRDefault="004E3C91" w:rsidP="00935BD6">
      <w:pPr>
        <w:spacing w:after="120"/>
        <w:ind w:firstLine="709"/>
        <w:jc w:val="both"/>
      </w:pPr>
      <w:r w:rsidRPr="00935BD6">
        <w:t xml:space="preserve">Фактическая обеспеченность населения Мурманской области централизованным водоснабжением составляет 95,8 %, в том числе: городское население – 100 %, сельское – 91,6 %; из поверхностных водоисточников - 94,2 % и подземных – 5,76 %. </w:t>
      </w:r>
    </w:p>
    <w:p w:rsidR="00424AFF" w:rsidRPr="00935BD6" w:rsidRDefault="004E3C91" w:rsidP="00935BD6">
      <w:pPr>
        <w:spacing w:after="120"/>
        <w:ind w:firstLine="709"/>
        <w:jc w:val="both"/>
      </w:pPr>
      <w:r w:rsidRPr="00935BD6">
        <w:t>Источники централизованного водоснабжения в Мурманской области 70 источников централизованного водоснабжения (57 поверхностных и 13 подземных). Вся вода из поверхностных водоемов, подаваемая населению</w:t>
      </w:r>
      <w:r w:rsidR="00FD22EE" w:rsidRPr="00935BD6">
        <w:t>, подвергается обеззараживанию.</w:t>
      </w:r>
    </w:p>
    <w:p w:rsidR="00FD22EE" w:rsidRPr="00935BD6" w:rsidRDefault="00FD22EE" w:rsidP="00935BD6">
      <w:pPr>
        <w:spacing w:after="120"/>
        <w:ind w:firstLine="709"/>
        <w:jc w:val="both"/>
      </w:pPr>
      <w:r w:rsidRPr="00935BD6">
        <w:t>Фактическая обеспеченность населения Мурманской области централизованным водоснабжением составляет 95,8 %, в том числе: городское население - 100 %, сельское - 91,6 %; из поверхностных водоисточников - 94,2 % и подземных - 5,76 %.</w:t>
      </w:r>
    </w:p>
    <w:p w:rsidR="00FD22EE" w:rsidRPr="00935BD6" w:rsidRDefault="00FD22EE" w:rsidP="00935BD6">
      <w:pPr>
        <w:spacing w:after="120"/>
        <w:ind w:firstLine="709"/>
        <w:jc w:val="both"/>
      </w:pPr>
      <w:r w:rsidRPr="00935BD6">
        <w:t>В Мурманской области эксплуатируется 70 водопроводов. Водопроводов, не отвечающих санитарно - эпидемиологическим требованиям из-за отсутствия ЗСО и обеззараживающих установок, нет. Большая часть сооружений по водоподготовке введена в эксплуатацию в 60-80 годах, физический износ оборудования достигает 60%.</w:t>
      </w:r>
    </w:p>
    <w:p w:rsidR="00BF35D8" w:rsidRPr="00935BD6" w:rsidRDefault="00BF35D8" w:rsidP="00935BD6">
      <w:pPr>
        <w:spacing w:after="120"/>
        <w:ind w:firstLine="709"/>
        <w:jc w:val="both"/>
      </w:pPr>
      <w:r w:rsidRPr="00935BD6">
        <w:t>Доля водопроводов из подземных источников, не соответствующих санитарно-эпидемиологическим правилам и нормативам, в период 2011-2013 г. составила 16,6 % (показатель РФ в 2012 г - 16,6%.), в том числе из-за отсутствия: необходимого комплекса очистных сооружений - 16,6 % (показатель РФ в 2012г. - 6,3%). Все водопроводы имеют утвержденные зоны санитарной охраны, везде используются обеззараживающие установки, в том числе с применением УФО-излучения.</w:t>
      </w:r>
    </w:p>
    <w:p w:rsidR="00FD22EE" w:rsidRPr="00935BD6" w:rsidRDefault="00BF35D8" w:rsidP="00935BD6">
      <w:pPr>
        <w:spacing w:after="120"/>
        <w:ind w:firstLine="709"/>
        <w:jc w:val="both"/>
      </w:pPr>
      <w:r w:rsidRPr="00935BD6">
        <w:lastRenderedPageBreak/>
        <w:t>Среди водопроводов из поверхностных источников в 2013 г. не соответствовали требованиям законодательства 70,7% (показатель РФ - 45,2 %), в том числе из-за отсутствия: необходимого комплекса очистных сооружений -70,7% (показатель РФ в 2012г.- 28,3 %)</w:t>
      </w:r>
    </w:p>
    <w:p w:rsidR="00BF35D8" w:rsidRPr="00935BD6" w:rsidRDefault="00BF35D8" w:rsidP="00935BD6">
      <w:pPr>
        <w:spacing w:after="120"/>
        <w:ind w:firstLine="709"/>
        <w:jc w:val="both"/>
      </w:pPr>
      <w:r w:rsidRPr="00935BD6">
        <w:t>На территории Мурманской области имеются 9 муниципальных образований, на территориях которых ряд водопроводов не имеют совершенные комплексы очистных сооружений</w:t>
      </w:r>
    </w:p>
    <w:p w:rsidR="00BF35D8" w:rsidRPr="00935BD6" w:rsidRDefault="00BF35D8" w:rsidP="00935BD6">
      <w:pPr>
        <w:spacing w:after="120"/>
        <w:ind w:firstLine="709"/>
        <w:jc w:val="both"/>
      </w:pPr>
      <w:r w:rsidRPr="00935BD6">
        <w:t>Удельный вес проб водопроводной воды, не отвечающих санитарно-гигиеническим нормативам по санитарно-химическим показателям, в среднем по области, увеличился и составил в 2013 году 16,35% (2012 год - 14,35%). Увеличился удельный вес проб питьевой воды, не отвечающих гигиеническим нормативам по микробиологическим показателям, с 1,13% в 2012 г. до 1,43% в 2013г.</w:t>
      </w:r>
    </w:p>
    <w:p w:rsidR="00BF35D8" w:rsidRPr="00935BD6" w:rsidRDefault="00BF35D8" w:rsidP="00935BD6">
      <w:pPr>
        <w:spacing w:after="120"/>
        <w:ind w:firstLine="709"/>
        <w:jc w:val="both"/>
      </w:pPr>
      <w:r w:rsidRPr="00935BD6">
        <w:t>Основной вклад в удельный вес неудовлетворительных проб воды из водопроводов по санитарно- химическим показателям вносит Кольский район (в 2013г. - 53,7%), г. Мурманск (в 2013г.- 48,9%), Кандалакшский район (в 2013г.-26,8%); по микробиологическим показателям- Кандалакшский район (в 2013г. -2,7%), Кольский район (в 2013г. - 7,7%).</w:t>
      </w:r>
    </w:p>
    <w:p w:rsidR="00BF35D8" w:rsidRPr="00935BD6" w:rsidRDefault="00BF35D8" w:rsidP="00935BD6">
      <w:pPr>
        <w:spacing w:after="120"/>
        <w:ind w:firstLine="709"/>
        <w:jc w:val="both"/>
      </w:pPr>
      <w:r w:rsidRPr="00935BD6">
        <w:t>Удельный вес проб воды из распределительной сети, не отвечающих санитарно-гигиеническим нормативам, в целом по Мурманской области, в 2013 году уменьшился и составил - 14,28% (2012 год - 26,34%). В 2013году увеличился удельный вес проб питьевой воды, не отвечающих гигиеническим нормативам по микробиологическим исследованиям,- 1,54% (0,95% в 2012г.), в том числе выделены возбудители инфекционных заболеваний (0,01% проб питьевой воды).</w:t>
      </w:r>
    </w:p>
    <w:p w:rsidR="00BF35D8" w:rsidRPr="00935BD6" w:rsidRDefault="00BF35D8" w:rsidP="00935BD6">
      <w:pPr>
        <w:spacing w:after="120"/>
        <w:ind w:firstLine="709"/>
        <w:jc w:val="both"/>
      </w:pPr>
      <w:r w:rsidRPr="00935BD6">
        <w:t>Несоответствие качества питьевой воды отмечается поорганолептическим показателям: цветность; а также по санитарно-химическим показателям: железо.</w:t>
      </w:r>
    </w:p>
    <w:p w:rsidR="003043DA" w:rsidRPr="00935BD6" w:rsidRDefault="003043DA" w:rsidP="00935BD6">
      <w:pPr>
        <w:spacing w:after="120"/>
        <w:ind w:firstLine="709"/>
        <w:jc w:val="both"/>
      </w:pPr>
      <w:r w:rsidRPr="00935BD6">
        <w:t>В целом по области удельный вес проб питьевой воды (водопроводы + распределительная сеть), не отвечающих санитарно-гигиеническим нормативам, уменьшился и составил 2013 году - 14,9% (2012 году 33,45%), увеличился удельный вес проб питьевой воды, не отвечающих по микробиологическим исследованиям - 1,5% в 2013году (1,01% в 2012г.).</w:t>
      </w:r>
    </w:p>
    <w:p w:rsidR="004A5537" w:rsidRPr="00935BD6" w:rsidRDefault="004A5537" w:rsidP="00935BD6">
      <w:pPr>
        <w:shd w:val="clear" w:color="auto" w:fill="FFFFFF"/>
        <w:spacing w:after="120"/>
        <w:ind w:firstLine="709"/>
        <w:jc w:val="both"/>
      </w:pPr>
      <w:r w:rsidRPr="00935BD6">
        <w:t>Отклонения качества воды от гигиенических нормативов в распределительной сети обусловлено превышением органолептических показателей: цветность, железо. Высокие концентрации железа в распределительной сети обусловлены</w:t>
      </w:r>
      <w:r w:rsidR="003043DA" w:rsidRPr="00935BD6">
        <w:t xml:space="preserve"> "</w:t>
      </w:r>
      <w:r w:rsidRPr="00935BD6">
        <w:t>вторичным загрязнением</w:t>
      </w:r>
      <w:r w:rsidR="003043DA" w:rsidRPr="00935BD6">
        <w:t>"</w:t>
      </w:r>
      <w:r w:rsidRPr="00935BD6">
        <w:t xml:space="preserve">, что связано с высоким уровнем износа объектов коммунальной инфраструктуры и в первую очередь состоянием разводящей сети, а так же технологической отсталостью процессов водоподготовки. На большинстве водопроводов Мурманской области используется лишь обеззараживание воды и не предусмотрены дополнительные процессы очистки, улучшающие именно санитарно-химические и органолептические показатели воды. </w:t>
      </w:r>
    </w:p>
    <w:p w:rsidR="00CB2D5C" w:rsidRPr="00935BD6" w:rsidRDefault="004A5537" w:rsidP="00935BD6">
      <w:pPr>
        <w:shd w:val="clear" w:color="auto" w:fill="FFFFFF"/>
        <w:spacing w:after="120"/>
        <w:ind w:firstLine="709"/>
        <w:jc w:val="both"/>
      </w:pPr>
      <w:r w:rsidRPr="00935BD6">
        <w:t xml:space="preserve">За последние пять лет качество питьевой воды в распределительной сети в Мурманской области значительно ухудшилось как по санитарно – химическим, так и по микробиологическим показателям. </w:t>
      </w:r>
      <w:r w:rsidR="00CB2D5C" w:rsidRPr="00935BD6">
        <w:t>К наиболее неблагоприятным территориям по обеспечению населения доброкачественной питьевой водой Мурманской области относятся ЗАТО г.Североморск, Кольский район, город Мурманск, Кандалакшский район.</w:t>
      </w:r>
    </w:p>
    <w:p w:rsidR="008222FC" w:rsidRPr="00935BD6" w:rsidRDefault="00CB2D5C" w:rsidP="00935BD6">
      <w:pPr>
        <w:shd w:val="clear" w:color="auto" w:fill="FFFFFF"/>
        <w:spacing w:after="120"/>
        <w:ind w:firstLine="709"/>
        <w:jc w:val="both"/>
      </w:pPr>
      <w:r w:rsidRPr="00935BD6">
        <w:t xml:space="preserve">По данным контрольно-надзорных мероприятий установлено, что 83,1% населения области обеспеченно условно доброкачественной питьевой водой. </w:t>
      </w:r>
      <w:r w:rsidR="008222FC" w:rsidRPr="00935BD6">
        <w:t xml:space="preserve">Население Мурманской области неудовлетворенно качеством питьевого водоснабжения. Ежегодно отмечается рост числа обращений жителей Мурманской области в Управление Роспотребнадзора по Мурманской области. За последние пять лет количество обращений жителей области на некачественные услуги ЖКХ (касаемо обеспечения доброкачественной водой) выросло в 16 раз.  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lastRenderedPageBreak/>
        <w:t>При этом отмечаем, что с 2014 года мероприятия в сфере водоснабжения и водоотведения реализуются в рамках государственной программы Мурманской области "Обеспечение комфортной среды проживания населения региона", утвержденной постановлением Правительства Мурманской области от 30.09.2013 № 571-ПП.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В целом в рамках ГП планируется к реализации ряд мероприятий, предусматривающих капитальные вложения в объекты водоснабжения и водоотведения, с общим объемом финансирования на период действия ГП 2014-2020 годы 1 254,7 млн.рублей, из них областной бюджет составил 974,3 млн.рублей.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При этом: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на 2015 год предусмотрено всего 236,0 млн.рублей, из них ОБ -231,8 млн.рублей;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на 2016 год предусмотрено всего 85,0 млн.рублей, из них ОБ -76,0 млн.рублей;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на 2017 год предусмотрено всего 63,7 млн.рублей, из них ОБ -40,0 млн.рублей.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В 2014 году в сфере водоснабжения и водоотведения проводилась работа по следующим мероприятиям, включенным в ГП: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"Расширение и реконструкция канализации в г. Мурманске";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"Южные ОСК, г. Мурманск" (проектные работы);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"Обустройство водозаборных сооружений на подземном источнике в г.Ковдоре. Водовод сырой воды. 1 этап";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"Реконструкция комплекса сооружений насосной станции водозабора в г. Заполярный (1 этап)";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"Реконструкция водовода от СУ-857 до ВК-1 в г. Мончегорске" (объект введен 31.12.2014).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Кроме того, в 2014 году подготовлены и проведены заседания коллегии Министерства энергетики и жилищно-коммунального хозяйства Мурманской области, на которых рассматривались, в том числе вопросы о состоянии санитарно-эпидемиологического благополучия населения Мурманской области в сфере водоснабжения и водоотведения, мероприятиях, проводимых в целях улучшения и сохранения качества услуг в сфере водоснабжения населения и водоотведения в Мурманской области, реализации положений Федерального закона от 07.12.2011 № 416-ФЗ "О водоснабжении и водоотведении", и были приняты решения, направленные на безукоснительное исполнение положений Федерального законодательства в сфере водоснабжения и водоотведения.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В рамках государственной программы Мурманской области "Энергоэффективность и развитие энергетики", утвержденной постановлением Правительства Мурманской области от 30.09.2013 № 574-ПП, за счет средств областного бюджета в 2014 году по подготовке к отопительному периоду 2014/2015 годов проведены работы по капитальному ремонту инженерных сетей и объектов ЖКХ муниципальных образований Мурманской области: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капитальный ремонт и замена сетей водоснабжения - 13239,31 м;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капитальный ремонт и замена сетей водоотведения - 2453,24 м.</w:t>
      </w:r>
    </w:p>
    <w:p w:rsidR="00170921" w:rsidRPr="00935BD6" w:rsidRDefault="00170921" w:rsidP="00935BD6">
      <w:pPr>
        <w:spacing w:after="120"/>
        <w:ind w:firstLine="709"/>
        <w:jc w:val="both"/>
      </w:pPr>
      <w:r w:rsidRPr="00935BD6">
        <w:t>В первые в Законе об областном бюджете Мурманской области на 2015 год предусмотрена субсидия на компенсацию выпадающих доходов организациям, осуществляющим водоснабжение, водоотведение для населения по тарифам, не обеспечивающим возмещение издержек в размере 60 млн. руб., что позволит водоснабжающим организациям улучшить качество предоставляемых услуг. Предоставление субсидии планируется осуществить во втором квартале 2015 года.</w:t>
      </w:r>
    </w:p>
    <w:p w:rsidR="00170921" w:rsidRPr="00935BD6" w:rsidRDefault="00170921" w:rsidP="00935BD6">
      <w:pPr>
        <w:shd w:val="clear" w:color="auto" w:fill="FFFFFF"/>
        <w:spacing w:after="120"/>
        <w:ind w:firstLine="709"/>
        <w:jc w:val="both"/>
      </w:pPr>
      <w:r w:rsidRPr="00935BD6">
        <w:lastRenderedPageBreak/>
        <w:t>Несмотря на включение вопросов обеспечения населения качественной питьевой водой в ГП, проводимые мероприятия не дают ощутимых результатов.</w:t>
      </w:r>
    </w:p>
    <w:p w:rsidR="00170921" w:rsidRPr="00935BD6" w:rsidRDefault="00170921" w:rsidP="00935BD6">
      <w:pPr>
        <w:shd w:val="clear" w:color="auto" w:fill="FFFFFF"/>
        <w:spacing w:after="120"/>
        <w:ind w:firstLine="709"/>
        <w:jc w:val="both"/>
      </w:pPr>
    </w:p>
    <w:p w:rsidR="007C2272" w:rsidRPr="00935BD6" w:rsidRDefault="007C2272" w:rsidP="00935BD6">
      <w:pPr>
        <w:shd w:val="clear" w:color="auto" w:fill="FFFFFF"/>
        <w:spacing w:after="120"/>
        <w:ind w:firstLine="709"/>
        <w:jc w:val="both"/>
      </w:pPr>
      <w:r w:rsidRPr="00935BD6">
        <w:t xml:space="preserve">Состояние окружающей среды, во взаимодействии с рядом прочих факторов является причиной динамики заболеваемости населения. </w:t>
      </w:r>
    </w:p>
    <w:p w:rsidR="007C2272" w:rsidRPr="00935BD6" w:rsidRDefault="007C2272" w:rsidP="00935BD6">
      <w:pPr>
        <w:shd w:val="clear" w:color="auto" w:fill="FFFFFF"/>
        <w:spacing w:after="120"/>
        <w:ind w:firstLine="709"/>
        <w:jc w:val="both"/>
      </w:pPr>
      <w:r w:rsidRPr="00935BD6">
        <w:t xml:space="preserve">Проведено ранжирование территорий Мурманской области по экологозависимым нозологиям, которое позволило выявить районы с высокими показателями заболеваемости детей от 0 до 14 лет и подростков 15-17 лет. Болезни эндокринной системы на 1000 детского населения от 0 до 14 лет: Мончегорск (64,2), Мурманск (54,8), Кольский район (54,3), Оленегорск (51,4) при среднеобластном – 41,1 (РФ 2011 – 17,2); Новообразования на 1000 детского населения от 0 до 14 лет: Мурманск (13,1), Апатиты (10,4), Кольский (9,4) при среднеобластном – 8,7 (РФ 2011 – 4,6); Болезни крови – Ковдорский район (19,6), Ловозерский район (19,3), Кольский район (18,4) при среднеобластном - 9,6 (РФ 2011 – 16,8); Врожденные аномалии – Оленегорск (7,3), Кировск (7,0), Мончегорск (5,6), Апатиты (5,3) при среднеобластном – 4,0 (РФ 2011 – 12,1); Болезни кожи и подкожной клетчатки – Оленегорск (149,2), Кандалакша (132,3) при среднеобластном - 128,8 (РФ 2011 – 108,8); Болезни мочеполовой системы – Мурманск (71,4), Апатиты (63,9), Кольский район (48,3) при среднеобластном- 46,9 (РФ 2011 – 32,2); Бронхиальная астма – Кировск (2,8), Кольский район (2,6), Мончегорск (2,4), Оленегорск (2,3), Ковдорский и Терский районы (2,2) при среднеобластном – 0,8 (РФ 2011 -1,5). </w:t>
      </w:r>
    </w:p>
    <w:p w:rsidR="00C43F1F" w:rsidRPr="00935BD6" w:rsidRDefault="00C43F1F" w:rsidP="00935BD6">
      <w:pPr>
        <w:pStyle w:val="Default"/>
        <w:spacing w:after="120"/>
        <w:ind w:firstLine="709"/>
        <w:jc w:val="both"/>
      </w:pPr>
      <w:r w:rsidRPr="00935BD6">
        <w:t xml:space="preserve">Болезни эндокринной системы на 1000 подростков от 15 до 17 лет: Кировск (67,2), Кольский район (46,0), Печенгский район (45,8) при среднеобластном – 26,0 (РФ 2011 – 24,4); 26 </w:t>
      </w:r>
    </w:p>
    <w:p w:rsidR="00C43F1F" w:rsidRPr="00935BD6" w:rsidRDefault="00C43F1F" w:rsidP="00935BD6">
      <w:pPr>
        <w:pStyle w:val="Default"/>
        <w:spacing w:after="120"/>
        <w:ind w:firstLine="709"/>
        <w:jc w:val="both"/>
      </w:pPr>
      <w:r w:rsidRPr="00935BD6">
        <w:t xml:space="preserve">В 2012 году выявлено 2949 новых случаев злокачественных новообразований. Показатель первичной заболеваемости на 100 тысяч населения составил 376.1 - это наивысший показатель за 5 лет, который выше российского показателя в 2011г. (РФ за 2011 г. – 365.7 на 100 тысяч населения). Прирост онкологической заболеваемости с 2008 г. составил 22 %. </w:t>
      </w:r>
    </w:p>
    <w:p w:rsidR="00C43F1F" w:rsidRPr="00935BD6" w:rsidRDefault="00C43F1F" w:rsidP="00935BD6">
      <w:pPr>
        <w:pStyle w:val="Default"/>
        <w:spacing w:after="120"/>
        <w:ind w:firstLine="709"/>
        <w:jc w:val="both"/>
      </w:pPr>
      <w:r w:rsidRPr="00935BD6">
        <w:t xml:space="preserve">Стандартизованный показатель (мировой стандарт возрастного распределения) онкологической заболеваемости в 2011 г. по Мурманской области составил 261.6 на 27 </w:t>
      </w:r>
    </w:p>
    <w:p w:rsidR="00C43F1F" w:rsidRPr="00935BD6" w:rsidRDefault="00C43F1F" w:rsidP="00935BD6">
      <w:pPr>
        <w:shd w:val="clear" w:color="auto" w:fill="FFFFFF"/>
        <w:spacing w:after="120"/>
        <w:ind w:firstLine="709"/>
        <w:jc w:val="both"/>
      </w:pPr>
      <w:r w:rsidRPr="00935BD6">
        <w:t>100 тыс. при среднероссийском показателе 233.3 за 2011 год.</w:t>
      </w:r>
      <w:r w:rsidR="002F77BD" w:rsidRPr="00935BD6">
        <w:t xml:space="preserve"> </w:t>
      </w:r>
      <w:r w:rsidRPr="00935BD6">
        <w:t xml:space="preserve">Показатели заболеваемости злокачественными новообразованиями детей от 0 до 14 лет с диагнозом, установленным впервые в жизни, в 2012 г. составили 18,0 на 100000 детского населения, (2011г. – 4,1; 2010 г. – 9,9; 2009 – 10,0; РФ 2011 -11,8). Отмечается рост показателя заболеваемости детей злокачественными новообразованиями по сравнению с предыдущим годом. </w:t>
      </w:r>
    </w:p>
    <w:p w:rsidR="00787737" w:rsidRPr="00935BD6" w:rsidRDefault="00787737" w:rsidP="00935BD6">
      <w:pPr>
        <w:pStyle w:val="Default"/>
        <w:spacing w:after="120"/>
        <w:ind w:firstLine="709"/>
        <w:jc w:val="both"/>
        <w:rPr>
          <w:b/>
          <w:bCs/>
        </w:rPr>
      </w:pPr>
      <w:r w:rsidRPr="00935BD6">
        <w:t>Для обеспечения комплекса мероприятий, направленных на предупреждение возникновения и (или) распространения заболеваний, выявление причин и условий их возникновения, а также проведение мероприятий, направленных на минимизацию вредного влияния на здоровье человека факторов среды его обитания необходимо принятие действенных мер:</w:t>
      </w:r>
    </w:p>
    <w:p w:rsidR="00C43F1F" w:rsidRPr="00935BD6" w:rsidRDefault="00C43F1F" w:rsidP="00935BD6">
      <w:pPr>
        <w:pStyle w:val="Default"/>
        <w:spacing w:after="120"/>
        <w:ind w:firstLine="709"/>
        <w:jc w:val="both"/>
      </w:pPr>
      <w:r w:rsidRPr="00935BD6">
        <w:rPr>
          <w:b/>
          <w:bCs/>
        </w:rPr>
        <w:t xml:space="preserve">в области водоснабжения населения и улучшения качества поставляемой потребителям питьевой воды: </w:t>
      </w:r>
    </w:p>
    <w:p w:rsidR="00C43F1F" w:rsidRPr="00935BD6" w:rsidRDefault="00C43F1F" w:rsidP="00935BD6">
      <w:pPr>
        <w:shd w:val="clear" w:color="auto" w:fill="FFFFFF"/>
        <w:spacing w:after="120"/>
        <w:ind w:firstLine="709"/>
        <w:jc w:val="both"/>
      </w:pPr>
      <w:r w:rsidRPr="00935BD6">
        <w:t xml:space="preserve">- по реализации мероприятий в рамках Водной стратегии Российской Федерации до 2020 года, ФЦП </w:t>
      </w:r>
      <w:r w:rsidR="00BD4CDB" w:rsidRPr="00935BD6">
        <w:t>"</w:t>
      </w:r>
      <w:r w:rsidRPr="00935BD6">
        <w:t>Чистая вода</w:t>
      </w:r>
      <w:r w:rsidR="00BD4CDB" w:rsidRPr="00935BD6">
        <w:t>"</w:t>
      </w:r>
      <w:r w:rsidRPr="00935BD6">
        <w:t xml:space="preserve"> на 2011 – 2017 годы</w:t>
      </w:r>
      <w:r w:rsidRPr="00935BD6">
        <w:rPr>
          <w:b/>
          <w:bCs/>
        </w:rPr>
        <w:t xml:space="preserve">; </w:t>
      </w:r>
      <w:r w:rsidRPr="00935BD6">
        <w:t xml:space="preserve">- проведение комплекса мероприятий, направленных на реализацию Федерального Закона №416-ФЗ от 07.12.2012г. </w:t>
      </w:r>
      <w:r w:rsidR="00170921" w:rsidRPr="00935BD6">
        <w:t>"</w:t>
      </w:r>
      <w:r w:rsidRPr="00935BD6">
        <w:t>О водоснабжении и водоотведении</w:t>
      </w:r>
      <w:r w:rsidR="00170921" w:rsidRPr="00935BD6">
        <w:t>"</w:t>
      </w:r>
      <w:r w:rsidRPr="00935BD6">
        <w:t xml:space="preserve">; - по соблюдению требований санитарных норм и правил по </w:t>
      </w:r>
      <w:r w:rsidRPr="00935BD6">
        <w:lastRenderedPageBreak/>
        <w:t>обеспечению организации зон санитарной охраны водоисточников, по корректировке существующих утверждѐнных зон санитарной охраны; - по соблюдению установленных требований качества и безопасности питьевой воды централизованного и нецентрализованного водоснабжения.</w:t>
      </w:r>
    </w:p>
    <w:p w:rsidR="00C43F1F" w:rsidRPr="00935BD6" w:rsidRDefault="00C43F1F" w:rsidP="00935BD6">
      <w:pPr>
        <w:pStyle w:val="Default"/>
        <w:spacing w:after="120"/>
        <w:ind w:firstLine="709"/>
        <w:jc w:val="both"/>
      </w:pPr>
      <w:r w:rsidRPr="00935BD6">
        <w:t xml:space="preserve">объектов инфраструктуры в зоне жилой застройки. </w:t>
      </w:r>
    </w:p>
    <w:p w:rsidR="005F61A6" w:rsidRPr="00935BD6" w:rsidRDefault="005F61A6" w:rsidP="00935BD6">
      <w:pPr>
        <w:spacing w:after="120"/>
        <w:ind w:firstLine="708"/>
        <w:jc w:val="both"/>
      </w:pPr>
      <w:r w:rsidRPr="00935BD6">
        <w:t xml:space="preserve">Поскольку в 2011 году из федерального бюджета предоставлялась субсидия в объеме 381,8 млн рублей на реализацию мероприятий в сфере водоснабжения, Мурманской области было отказано в выделении субсидии в рамках Программы. </w:t>
      </w:r>
    </w:p>
    <w:p w:rsidR="005F61A6" w:rsidRPr="00935BD6" w:rsidRDefault="005F61A6" w:rsidP="00935BD6">
      <w:pPr>
        <w:spacing w:after="120"/>
        <w:ind w:firstLine="708"/>
        <w:jc w:val="both"/>
      </w:pPr>
      <w:r w:rsidRPr="00935BD6">
        <w:t xml:space="preserve">В 2012 году Мурманской области также было отказано в выделении субсидии в связи с недостаточным привлечением средств из внебюджетных источников (обязательным условием получения субсидии в 2012 году являлось соблюдение соотношения: на 1 рубль из федерального бюджета должно быть обеспечено привлечение 7 рублей из внебюджетных источников). </w:t>
      </w:r>
    </w:p>
    <w:p w:rsidR="005F61A6" w:rsidRPr="00935BD6" w:rsidRDefault="005F61A6" w:rsidP="00935BD6">
      <w:pPr>
        <w:shd w:val="clear" w:color="auto" w:fill="FFFFFF"/>
        <w:tabs>
          <w:tab w:val="left" w:pos="884"/>
        </w:tabs>
        <w:spacing w:after="120"/>
        <w:ind w:left="10" w:right="29" w:firstLine="710"/>
        <w:jc w:val="both"/>
      </w:pPr>
      <w:r w:rsidRPr="00935BD6">
        <w:t>В 2013 году регион не подавал заявку на участие в Программе, потому что обязательное требование по участию - на 1 рубль из федерального бюджета другая сторона должна вложить 9,2 рубля из других источников, причем только 9% средств может быть направлено из бюджета субъекта Российской Федерации и 81% – капитальные вложения бизнеса, однако необходимо понимать, что в условиях старения коммунальной инфраструктуры предприятия частного сектора не будут вкладывать до 81% собственных средств в развитие сектора водоснабжения, водоотведения и очистки сточных вод.</w:t>
      </w:r>
    </w:p>
    <w:p w:rsidR="005F61A6" w:rsidRPr="00935BD6" w:rsidRDefault="005F61A6" w:rsidP="00935BD6">
      <w:pPr>
        <w:spacing w:after="120"/>
        <w:ind w:firstLine="709"/>
        <w:jc w:val="both"/>
        <w:rPr>
          <w:rFonts w:eastAsia="Calibri"/>
        </w:rPr>
      </w:pPr>
    </w:p>
    <w:p w:rsidR="00BD4CDB" w:rsidRPr="00935BD6" w:rsidRDefault="00BD4CDB" w:rsidP="00935BD6">
      <w:pPr>
        <w:widowControl w:val="0"/>
        <w:shd w:val="clear" w:color="auto" w:fill="FFFFFF"/>
        <w:tabs>
          <w:tab w:val="left" w:pos="884"/>
        </w:tabs>
        <w:spacing w:after="120"/>
        <w:ind w:firstLine="709"/>
        <w:jc w:val="both"/>
      </w:pPr>
      <w:r w:rsidRPr="00935BD6">
        <w:rPr>
          <w:rFonts w:eastAsia="Calibri"/>
        </w:rPr>
        <w:t xml:space="preserve">В апреле </w:t>
      </w:r>
      <w:r w:rsidR="00170921" w:rsidRPr="00935BD6">
        <w:rPr>
          <w:rFonts w:eastAsia="Calibri"/>
        </w:rPr>
        <w:t>2014</w:t>
      </w:r>
      <w:r w:rsidRPr="00935BD6">
        <w:rPr>
          <w:rFonts w:eastAsia="Calibri"/>
        </w:rPr>
        <w:t xml:space="preserve"> года Мурманская областная Дума по инициативе Комитета по экологии и охране окружающей среды приняла обращение </w:t>
      </w:r>
      <w:r w:rsidRPr="00935BD6">
        <w:t>к Председателю Правительства Российской Федерации Д.А.Медведеву и Министру строительства и жилищно-коммунального хозяйства Российской Федерации М.А.Меню по вопросу внесения изменений в федеральную целевую программу "Чистая вода" на 2011-2017 годы в котором выступила с предложением рассмотреть вопрос внесения изменений в федеральную целевую программу "Чистая вода" на 2011-2017 годы, а именно:</w:t>
      </w:r>
    </w:p>
    <w:p w:rsidR="00BD4CDB" w:rsidRPr="00935BD6" w:rsidRDefault="00BD4CDB" w:rsidP="00935BD6">
      <w:pPr>
        <w:widowControl w:val="0"/>
        <w:shd w:val="clear" w:color="auto" w:fill="FFFFFF"/>
        <w:tabs>
          <w:tab w:val="left" w:pos="884"/>
        </w:tabs>
        <w:spacing w:after="120"/>
        <w:ind w:firstLine="709"/>
        <w:jc w:val="both"/>
      </w:pPr>
      <w:r w:rsidRPr="00935BD6">
        <w:t>в части финансового обеспечения Программы – продлить финансирование за счет средств федерального бюджета региональных программ по развитию сектора водоснабжения, водоотведения и очистки сточных вод, претендующих на получение средств федерального бюджета;</w:t>
      </w:r>
    </w:p>
    <w:p w:rsidR="00BD4CDB" w:rsidRPr="00935BD6" w:rsidRDefault="00BD4CDB" w:rsidP="00935BD6">
      <w:pPr>
        <w:shd w:val="clear" w:color="auto" w:fill="FFFFFF"/>
        <w:tabs>
          <w:tab w:val="left" w:pos="884"/>
        </w:tabs>
        <w:spacing w:after="120"/>
        <w:ind w:firstLine="709"/>
        <w:jc w:val="both"/>
      </w:pPr>
      <w:r w:rsidRPr="00935BD6">
        <w:t>установить минимально возможный уровень софинансирования из внебюджетных источников, так как в силу регулируемых государством тарифов частный инвестор не вкладывает средства в сферу водоснабжения и водоотведения;</w:t>
      </w:r>
    </w:p>
    <w:p w:rsidR="00BD4CDB" w:rsidRPr="00935BD6" w:rsidRDefault="00BD4CDB" w:rsidP="00935BD6">
      <w:pPr>
        <w:shd w:val="clear" w:color="auto" w:fill="FFFFFF"/>
        <w:tabs>
          <w:tab w:val="left" w:pos="884"/>
        </w:tabs>
        <w:spacing w:after="120"/>
        <w:ind w:firstLine="709"/>
        <w:jc w:val="both"/>
      </w:pPr>
      <w:r w:rsidRPr="00935BD6">
        <w:t>исключить показатель, характеризующий уровень заболеваемости населения по специфичным для региона заболеваниям и хроническим болезням, связанным с низким качеством питьевой воды, так как для установления такой связи необходимо проведение исследований по изучению влияния качества питьевой воды на здоровье населения с оценкой рисков.</w:t>
      </w:r>
    </w:p>
    <w:p w:rsidR="00BD4CDB" w:rsidRPr="00935BD6" w:rsidRDefault="00BD4CDB" w:rsidP="00935BD6">
      <w:pPr>
        <w:shd w:val="clear" w:color="auto" w:fill="FFFFFF"/>
        <w:tabs>
          <w:tab w:val="left" w:pos="884"/>
        </w:tabs>
        <w:spacing w:after="120"/>
        <w:ind w:firstLine="709"/>
        <w:jc w:val="both"/>
      </w:pPr>
      <w:r w:rsidRPr="00935BD6">
        <w:t>Кроме того, предложила рассматривать заявки с учетом особенностей регионов Российской Федерации.</w:t>
      </w:r>
    </w:p>
    <w:p w:rsidR="00BD4CDB" w:rsidRPr="00935BD6" w:rsidRDefault="00BD4CDB" w:rsidP="00935BD6">
      <w:pPr>
        <w:spacing w:after="120"/>
        <w:ind w:firstLine="709"/>
        <w:jc w:val="both"/>
        <w:rPr>
          <w:rFonts w:eastAsia="Calibri"/>
        </w:rPr>
      </w:pPr>
    </w:p>
    <w:sectPr w:rsidR="00BD4CDB" w:rsidRPr="00935BD6" w:rsidSect="005F61A6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9D" w:rsidRDefault="004B539D" w:rsidP="00371558">
      <w:r>
        <w:separator/>
      </w:r>
    </w:p>
  </w:endnote>
  <w:endnote w:type="continuationSeparator" w:id="0">
    <w:p w:rsidR="004B539D" w:rsidRDefault="004B539D" w:rsidP="0037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9D" w:rsidRDefault="004B539D" w:rsidP="00371558">
      <w:r>
        <w:separator/>
      </w:r>
    </w:p>
  </w:footnote>
  <w:footnote w:type="continuationSeparator" w:id="0">
    <w:p w:rsidR="004B539D" w:rsidRDefault="004B539D" w:rsidP="00371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A6" w:rsidRPr="005F61A6" w:rsidRDefault="005F61A6">
    <w:pPr>
      <w:pStyle w:val="ac"/>
      <w:jc w:val="center"/>
    </w:pPr>
    <w:r w:rsidRPr="005F61A6">
      <w:t xml:space="preserve">- </w:t>
    </w:r>
    <w:fldSimple w:instr=" PAGE   \* MERGEFORMAT ">
      <w:r w:rsidR="00E13A5C">
        <w:rPr>
          <w:noProof/>
        </w:rPr>
        <w:t>3</w:t>
      </w:r>
    </w:fldSimple>
    <w:r w:rsidRPr="005F61A6">
      <w:t xml:space="preserve"> -</w:t>
    </w:r>
  </w:p>
  <w:p w:rsidR="005F61A6" w:rsidRDefault="005F61A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B27F2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C54"/>
    <w:rsid w:val="000117E4"/>
    <w:rsid w:val="000B168F"/>
    <w:rsid w:val="000B5DCB"/>
    <w:rsid w:val="001218CB"/>
    <w:rsid w:val="00170921"/>
    <w:rsid w:val="001D0CE1"/>
    <w:rsid w:val="00202291"/>
    <w:rsid w:val="0024580E"/>
    <w:rsid w:val="002618FC"/>
    <w:rsid w:val="00270628"/>
    <w:rsid w:val="002B25A8"/>
    <w:rsid w:val="002E1927"/>
    <w:rsid w:val="002F77BD"/>
    <w:rsid w:val="003043DA"/>
    <w:rsid w:val="003253B9"/>
    <w:rsid w:val="00371558"/>
    <w:rsid w:val="00382959"/>
    <w:rsid w:val="003D4386"/>
    <w:rsid w:val="003E0D84"/>
    <w:rsid w:val="003E1198"/>
    <w:rsid w:val="00424AFF"/>
    <w:rsid w:val="00455272"/>
    <w:rsid w:val="0046775D"/>
    <w:rsid w:val="0049218B"/>
    <w:rsid w:val="00494AF9"/>
    <w:rsid w:val="00495CB5"/>
    <w:rsid w:val="004A5537"/>
    <w:rsid w:val="004B539D"/>
    <w:rsid w:val="004E3C91"/>
    <w:rsid w:val="00516025"/>
    <w:rsid w:val="005B58A5"/>
    <w:rsid w:val="005E179C"/>
    <w:rsid w:val="005F61A6"/>
    <w:rsid w:val="006454A2"/>
    <w:rsid w:val="006579D4"/>
    <w:rsid w:val="0066227B"/>
    <w:rsid w:val="006A646D"/>
    <w:rsid w:val="0070087E"/>
    <w:rsid w:val="00702BD8"/>
    <w:rsid w:val="00713686"/>
    <w:rsid w:val="00757244"/>
    <w:rsid w:val="00787737"/>
    <w:rsid w:val="007B6460"/>
    <w:rsid w:val="007C2272"/>
    <w:rsid w:val="007C31D7"/>
    <w:rsid w:val="008222FC"/>
    <w:rsid w:val="008B1DF0"/>
    <w:rsid w:val="009275EC"/>
    <w:rsid w:val="00935BD6"/>
    <w:rsid w:val="00990AE4"/>
    <w:rsid w:val="0099216E"/>
    <w:rsid w:val="00A1273B"/>
    <w:rsid w:val="00A4139A"/>
    <w:rsid w:val="00A5506D"/>
    <w:rsid w:val="00A834DF"/>
    <w:rsid w:val="00AB193B"/>
    <w:rsid w:val="00AE1C54"/>
    <w:rsid w:val="00AE4C5F"/>
    <w:rsid w:val="00B31A98"/>
    <w:rsid w:val="00B4472D"/>
    <w:rsid w:val="00B5091D"/>
    <w:rsid w:val="00B63DBF"/>
    <w:rsid w:val="00BD4CDB"/>
    <w:rsid w:val="00BF35D8"/>
    <w:rsid w:val="00C15EEA"/>
    <w:rsid w:val="00C43F1F"/>
    <w:rsid w:val="00CB1168"/>
    <w:rsid w:val="00CB2D5C"/>
    <w:rsid w:val="00D06D0A"/>
    <w:rsid w:val="00D101A7"/>
    <w:rsid w:val="00D1101A"/>
    <w:rsid w:val="00D21558"/>
    <w:rsid w:val="00D246D8"/>
    <w:rsid w:val="00D25EE2"/>
    <w:rsid w:val="00D42E9F"/>
    <w:rsid w:val="00D71CCF"/>
    <w:rsid w:val="00E13A5C"/>
    <w:rsid w:val="00E432C1"/>
    <w:rsid w:val="00EF11FC"/>
    <w:rsid w:val="00F60F2B"/>
    <w:rsid w:val="00F716F0"/>
    <w:rsid w:val="00FB5AD3"/>
    <w:rsid w:val="00FD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28"/>
    <w:rPr>
      <w:sz w:val="24"/>
      <w:szCs w:val="24"/>
    </w:rPr>
  </w:style>
  <w:style w:type="paragraph" w:styleId="2">
    <w:name w:val="heading 2"/>
    <w:basedOn w:val="a"/>
    <w:qFormat/>
    <w:rsid w:val="000B1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4"/>
    <w:rsid w:val="006454A2"/>
  </w:style>
  <w:style w:type="paragraph" w:styleId="a4">
    <w:name w:val="footnote text"/>
    <w:basedOn w:val="a"/>
    <w:semiHidden/>
    <w:rsid w:val="006454A2"/>
    <w:rPr>
      <w:sz w:val="20"/>
      <w:szCs w:val="20"/>
    </w:rPr>
  </w:style>
  <w:style w:type="paragraph" w:customStyle="1" w:styleId="a5">
    <w:name w:val="сноска"/>
    <w:basedOn w:val="a"/>
    <w:rsid w:val="006454A2"/>
    <w:pPr>
      <w:spacing w:line="360" w:lineRule="auto"/>
      <w:jc w:val="both"/>
    </w:pPr>
    <w:rPr>
      <w:sz w:val="20"/>
    </w:rPr>
  </w:style>
  <w:style w:type="paragraph" w:styleId="a6">
    <w:name w:val="Normal (Web)"/>
    <w:basedOn w:val="a"/>
    <w:rsid w:val="003E0D84"/>
    <w:pPr>
      <w:spacing w:before="100" w:beforeAutospacing="1" w:after="100" w:afterAutospacing="1"/>
    </w:pPr>
  </w:style>
  <w:style w:type="character" w:styleId="a7">
    <w:name w:val="Hyperlink"/>
    <w:rsid w:val="00C15EEA"/>
    <w:rPr>
      <w:color w:val="0000FF"/>
      <w:u w:val="single"/>
    </w:rPr>
  </w:style>
  <w:style w:type="paragraph" w:customStyle="1" w:styleId="Default">
    <w:name w:val="Default"/>
    <w:rsid w:val="007C22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 Indent"/>
    <w:basedOn w:val="a"/>
    <w:link w:val="a9"/>
    <w:rsid w:val="00D101A7"/>
    <w:pPr>
      <w:widowControl w:val="0"/>
      <w:autoSpaceDE w:val="0"/>
      <w:autoSpaceDN w:val="0"/>
      <w:adjustRightInd w:val="0"/>
      <w:ind w:firstLine="580"/>
      <w:jc w:val="both"/>
    </w:pPr>
    <w:rPr>
      <w:sz w:val="28"/>
      <w:lang w:eastAsia="en-US"/>
    </w:rPr>
  </w:style>
  <w:style w:type="character" w:customStyle="1" w:styleId="a9">
    <w:name w:val="Основной текст с отступом Знак"/>
    <w:link w:val="a8"/>
    <w:rsid w:val="00D101A7"/>
    <w:rPr>
      <w:sz w:val="28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77B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F77B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715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1558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715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1558"/>
    <w:rPr>
      <w:sz w:val="24"/>
      <w:szCs w:val="24"/>
    </w:rPr>
  </w:style>
  <w:style w:type="paragraph" w:customStyle="1" w:styleId="Style2">
    <w:name w:val="Style2"/>
    <w:basedOn w:val="a"/>
    <w:uiPriority w:val="99"/>
    <w:rsid w:val="00FD22EE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uiPriority w:val="99"/>
    <w:rsid w:val="00FD22EE"/>
    <w:pPr>
      <w:widowControl w:val="0"/>
      <w:autoSpaceDE w:val="0"/>
      <w:autoSpaceDN w:val="0"/>
      <w:adjustRightInd w:val="0"/>
      <w:spacing w:line="269" w:lineRule="exact"/>
      <w:ind w:firstLine="413"/>
      <w:jc w:val="both"/>
    </w:pPr>
  </w:style>
  <w:style w:type="character" w:customStyle="1" w:styleId="FontStyle57">
    <w:name w:val="Font Style57"/>
    <w:basedOn w:val="a0"/>
    <w:uiPriority w:val="99"/>
    <w:rsid w:val="00FD22EE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BF35D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2">
    <w:name w:val="Style12"/>
    <w:basedOn w:val="a"/>
    <w:uiPriority w:val="99"/>
    <w:rsid w:val="00BF35D8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BF35D8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2">
    <w:name w:val="Style22"/>
    <w:basedOn w:val="a"/>
    <w:uiPriority w:val="99"/>
    <w:rsid w:val="00BF35D8"/>
    <w:pPr>
      <w:widowControl w:val="0"/>
      <w:autoSpaceDE w:val="0"/>
      <w:autoSpaceDN w:val="0"/>
      <w:adjustRightInd w:val="0"/>
      <w:spacing w:line="265" w:lineRule="exact"/>
      <w:jc w:val="both"/>
    </w:pPr>
  </w:style>
  <w:style w:type="paragraph" w:customStyle="1" w:styleId="Style25">
    <w:name w:val="Style25"/>
    <w:basedOn w:val="a"/>
    <w:uiPriority w:val="99"/>
    <w:rsid w:val="00BF35D8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62">
    <w:name w:val="Font Style62"/>
    <w:basedOn w:val="a0"/>
    <w:uiPriority w:val="99"/>
    <w:rsid w:val="00BF35D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6">
    <w:name w:val="Style26"/>
    <w:basedOn w:val="a"/>
    <w:uiPriority w:val="99"/>
    <w:rsid w:val="003043DA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3043DA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basedOn w:val="a0"/>
    <w:uiPriority w:val="99"/>
    <w:rsid w:val="003043DA"/>
    <w:rPr>
      <w:rFonts w:ascii="Bookman Old Style" w:hAnsi="Bookman Old Style" w:cs="Bookman Old Style"/>
      <w:b/>
      <w:bCs/>
      <w:spacing w:val="10"/>
      <w:sz w:val="12"/>
      <w:szCs w:val="12"/>
    </w:rPr>
  </w:style>
  <w:style w:type="paragraph" w:customStyle="1" w:styleId="Style11">
    <w:name w:val="Style11"/>
    <w:basedOn w:val="a"/>
    <w:uiPriority w:val="99"/>
    <w:rsid w:val="00170921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170921"/>
    <w:pPr>
      <w:widowControl w:val="0"/>
      <w:autoSpaceDE w:val="0"/>
      <w:autoSpaceDN w:val="0"/>
      <w:adjustRightInd w:val="0"/>
      <w:spacing w:line="317" w:lineRule="exact"/>
      <w:ind w:firstLine="1214"/>
    </w:pPr>
  </w:style>
  <w:style w:type="character" w:customStyle="1" w:styleId="FontStyle25">
    <w:name w:val="Font Style25"/>
    <w:basedOn w:val="a0"/>
    <w:uiPriority w:val="99"/>
    <w:rsid w:val="0017092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170921"/>
    <w:rPr>
      <w:rFonts w:ascii="Candara" w:hAnsi="Candara" w:cs="Candar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Мурманской области обеспечение населения питьевой водой - один из самых проблемных вопросов санитарно-эпидемиологической обс</vt:lpstr>
    </vt:vector>
  </TitlesOfParts>
  <Company>SPecialiST RePack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Мурманской области обеспечение населения питьевой водой - один из самых проблемных вопросов санитарно-эпидемиологической обс</dc:title>
  <dc:creator>User</dc:creator>
  <cp:lastModifiedBy>Бандура</cp:lastModifiedBy>
  <cp:revision>2</cp:revision>
  <cp:lastPrinted>2015-03-13T08:56:00Z</cp:lastPrinted>
  <dcterms:created xsi:type="dcterms:W3CDTF">2015-03-23T09:18:00Z</dcterms:created>
  <dcterms:modified xsi:type="dcterms:W3CDTF">2015-03-23T09:18:00Z</dcterms:modified>
</cp:coreProperties>
</file>