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14" w:rsidRDefault="00903614" w:rsidP="00903614">
      <w:pPr>
        <w:pStyle w:val="a3"/>
        <w:ind w:firstLine="567"/>
        <w:jc w:val="center"/>
        <w:rPr>
          <w:b/>
        </w:rPr>
      </w:pPr>
      <w:r w:rsidRPr="00903614">
        <w:rPr>
          <w:b/>
        </w:rPr>
        <w:t xml:space="preserve">Информация к «правительственному часу», состоявшемуся в Государственной Думе Федерального Собрания РФ 22 марта 2017 г. </w:t>
      </w:r>
    </w:p>
    <w:p w:rsidR="00903614" w:rsidRDefault="00903614" w:rsidP="00903614">
      <w:pPr>
        <w:pStyle w:val="a3"/>
        <w:ind w:firstLine="567"/>
        <w:jc w:val="center"/>
        <w:rPr>
          <w:b/>
        </w:rPr>
      </w:pPr>
      <w:proofErr w:type="gramStart"/>
      <w:r w:rsidRPr="00903614">
        <w:rPr>
          <w:b/>
        </w:rPr>
        <w:t>(докладчик - министр транспорта Российской Федерации</w:t>
      </w:r>
      <w:proofErr w:type="gramEnd"/>
    </w:p>
    <w:p w:rsidR="00903614" w:rsidRPr="00903614" w:rsidRDefault="00903614" w:rsidP="00903614">
      <w:pPr>
        <w:pStyle w:val="a3"/>
        <w:ind w:firstLine="567"/>
        <w:jc w:val="center"/>
        <w:rPr>
          <w:b/>
        </w:rPr>
      </w:pPr>
      <w:r w:rsidRPr="00903614">
        <w:rPr>
          <w:b/>
        </w:rPr>
        <w:t xml:space="preserve"> Максим Юрьевич Соколов)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 xml:space="preserve">За последние несколько лет изменения во внешнеполитической и экономической ситуации оказали разнонаправленное влияние на транспортную систему нашей страны и динамику спроса на её услуги. Необходимость обеспечивать конкурентоспособность национальной экономики, развивать территории и повышать качество жизни людей даже в условиях снижения деловой активности и негативного влияния макроэкономических факторов обязывает нас продолжать реализацию стратегически важных проектов и поддерживать на должном уровне работоспособность инфраструктуры, а также гарантировать доступность, качество и безопасность оказываемых услуг. </w:t>
      </w:r>
      <w:proofErr w:type="gramStart"/>
      <w:r w:rsidRPr="00886DD6">
        <w:t>Как сказал наш президент, мы не можем себе позволить откладывать развитие на потом, и это требует от нас поиска новых моделей, источников финансирования, повышения эффективности использования выделяемых бюджетных средств, отбора проектов, которые приносят мультипликативный эффект в виде развития отраслей экономики и туризма, создания новых рабочих мест, повышения мобильности населения и улучшения инвестиционной привлекательности регионов.</w:t>
      </w:r>
      <w:proofErr w:type="gramEnd"/>
    </w:p>
    <w:p w:rsidR="00903614" w:rsidRPr="00886DD6" w:rsidRDefault="00903614" w:rsidP="00903614">
      <w:pPr>
        <w:pStyle w:val="a3"/>
        <w:ind w:firstLine="567"/>
        <w:jc w:val="both"/>
      </w:pPr>
      <w:r w:rsidRPr="00886DD6">
        <w:t>В отчётном, 2016 году мы сконцентрировали свою работу на сохранении доступности услуг для пассажиров в социально значимых сегментах перевозок, на повышении качества и работоспособности инфраструктуры и на реализации стратегически важных проектов и кадровой обеспеченности отрасли. Результаты работы в истекшем году позволяют говорить, что мы на верном пути. Расскажу о них более подробно.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>По предварительной оценке общий объём инвестиций в транспортный комплекс составил около 2 процентов В</w:t>
      </w:r>
      <w:proofErr w:type="gramStart"/>
      <w:r w:rsidRPr="00886DD6">
        <w:t>ВП стр</w:t>
      </w:r>
      <w:proofErr w:type="gramEnd"/>
      <w:r w:rsidRPr="00886DD6">
        <w:t>аны, и это почти на 5 процентов больше уровня 2015 года, на федеральный бюджет приходится более четверти всех инвестиций. Объём перевозок грузов организациями всех видов экономической деятельности вырос более чем на 1,5 процента, а грузооборот — почти на 2 процента. Несмотря на снижение темпов роста экономики в целом, экспорт транспортных услуг остался на уровне предыдущего года, в стоимостном выражении это порядка 15 миллиардов долларов США, что составляет почти половину доходов России от экспорта природного газа.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>За прошедший год был выполнен капитальный ремонт и ремонт на участках автомобильных дорог федерального значения общей протяженностью порядка 9 тысяч километров, более 300 километров было построено и реконструировано, около трети из них составляют скоростные дороги. Это позволило довести долю федеральных дорог, соответствующих нормативным требованиям, до рекордной планки — 71 процент от общей протяжённости.</w:t>
      </w:r>
    </w:p>
    <w:p w:rsidR="00903614" w:rsidRPr="00886DD6" w:rsidRDefault="00903614" w:rsidP="00903614">
      <w:pPr>
        <w:pStyle w:val="a3"/>
        <w:ind w:firstLine="567"/>
        <w:jc w:val="both"/>
      </w:pPr>
      <w:proofErr w:type="gramStart"/>
      <w:r w:rsidRPr="00886DD6">
        <w:t>Введены в эксплуатацию участки на трассах "Балтия", "Кола", "Урал", "Лена", "Уссури", "Вилюй", "Украина", "Дон", завершены обходы Торжка в Тверской области, населённых пунктов в Рязанской и Воронежской областях, Алтайском крае, Республике Мордовия, открыто рабочее движение по первому участку трассы "Скандинавия".</w:t>
      </w:r>
      <w:proofErr w:type="gramEnd"/>
      <w:r w:rsidRPr="00886DD6">
        <w:t xml:space="preserve"> В год 100-летия основания Мурманска была сделана новая подъездная трасса к городу, которая стала одним из самых масштабных проектов дорожного строительства в Заполярье за последние годы.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lastRenderedPageBreak/>
        <w:t xml:space="preserve">В региональной и местной дорожной сети с использованием средств федерального бюджета завершено строительство и реконструкция около 3 тысяч километров автомобильных дорог, а отремонтировано почти 14 тысяч километров. Введены в эксплуатацию мосты в Новгородской и Калининградской </w:t>
      </w:r>
      <w:proofErr w:type="gramStart"/>
      <w:r w:rsidRPr="00886DD6">
        <w:t>областях</w:t>
      </w:r>
      <w:proofErr w:type="gramEnd"/>
      <w:r w:rsidRPr="00886DD6">
        <w:t>, в Республике Удмуртия, в Республике Татарстан, в Чеченской Республике. Завершён самый масштабный в Европе прое</w:t>
      </w:r>
      <w:proofErr w:type="gramStart"/>
      <w:r w:rsidRPr="00886DD6">
        <w:t>кт стр</w:t>
      </w:r>
      <w:proofErr w:type="gramEnd"/>
      <w:r w:rsidRPr="00886DD6">
        <w:t>оительства инфраструктуры на принципах государственно-частного партнёрства — Западный скоростной диаметр в Санкт-Петербурге. В прошлом году был введён в эксплуатацию его завершающий центральный участок с четырьмя уникальными мостами в дельте Невы и тоннелем под Васильевским островом.</w:t>
      </w:r>
    </w:p>
    <w:p w:rsidR="00903614" w:rsidRPr="00886DD6" w:rsidRDefault="00903614" w:rsidP="00903614">
      <w:pPr>
        <w:pStyle w:val="a3"/>
        <w:ind w:firstLine="567"/>
        <w:jc w:val="both"/>
      </w:pPr>
      <w:proofErr w:type="gramStart"/>
      <w:r w:rsidRPr="00886DD6">
        <w:t>За счёт средств, полученных от использования системы "Платон" и выделенных на соответствующие цели по решению правительства, отремонтировано более 1 тысячи километров дорог в сорока городах и регионах, построены мосты в Алтайском крае, Уфе, Карачаево-Черкесской Республике, строительные и ремонтные работы выполнялись на тридцати мостах и путепроводах общей протяжённостью более 3 километров в восемнадцати регионах.</w:t>
      </w:r>
      <w:proofErr w:type="gramEnd"/>
      <w:r w:rsidRPr="00886DD6">
        <w:t xml:space="preserve"> В этом году за счёт таких средств будут открыты новые мосты в Ростове-на-Дону, Нижнем Новгороде, путепровод в Республике Карелия, а в ближайшем будущем мосты в Самаре и подмосковной Дубне.</w:t>
      </w:r>
    </w:p>
    <w:p w:rsidR="00903614" w:rsidRPr="00886DD6" w:rsidRDefault="00903614" w:rsidP="00903614">
      <w:pPr>
        <w:pStyle w:val="a3"/>
        <w:ind w:firstLine="567"/>
        <w:jc w:val="both"/>
      </w:pPr>
      <w:proofErr w:type="gramStart"/>
      <w:r w:rsidRPr="00886DD6">
        <w:t>За счёт трансфертов, выделенных регионам на решение неотложных задач в дорожном хозяйстве, проведён ремонт автомобильных дорог в Республике Марий Эл, Пермском крае, Архангельской, Владимирской, Волгоградской, Костромской, Омской, Саратовской, Тамбовской, Челябинской областях, Еврейской автономной области.</w:t>
      </w:r>
      <w:proofErr w:type="gramEnd"/>
      <w:r w:rsidRPr="00886DD6">
        <w:t xml:space="preserve"> Также за счёт этих средств выполнен ремонт дорожных покрытий улиц в Екатеринбурге, Калуге, Орле, Ростове-на-Дону, Рязани, Сыктывкаре, Тольятти и ещё в ряде других регионов.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>В рамках федеральной целевой программы "Устойчивое развитие сельских территорий..." в сорока семи регионах страны за счёт субсидий федерального бюджета построены и реконструированы подъезды с твёрдым покрытием к ста сорока пяти сельским населённым пунктам и тридцати восьми объектам сельхозпроизводства, общая протяжённость их составляет более 500 километров.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>По решению совета при президенте по стратегическому развитию дан старт приоритетному проекту "Безопасные и качественные дороги". Целью проекта является приведение большей части дорожной сети в тридцати семи крупнейших городах нашей страны с населением более полумиллиона человек в каждом к нормативным требованиям. К 2018 году протяжённость дорожной сети, соответствующей нормативным требованиям, в этих агломерациях должна составлять не менее 50 процентов от общей протяжённости, а к 2025 году — не менее 85 процентов. По масштабам охвата проект не имеет аналогов: он реализуется в тридцати четырёх регионах, и эффект от его реализации должны ощутить более 40 миллионов человек. На его реализацию направлены федеральные средства — в этом, и в следующем году будет выделено по 30 миллиардов рублей.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 xml:space="preserve">Уверенно пройден экватор в реализации самого масштабного и знакового на сегодняшний </w:t>
      </w:r>
      <w:proofErr w:type="gramStart"/>
      <w:r w:rsidRPr="00886DD6">
        <w:t>день</w:t>
      </w:r>
      <w:proofErr w:type="gramEnd"/>
      <w:r w:rsidRPr="00886DD6">
        <w:t xml:space="preserve"> как для отрасли, так и для всей страны инфраструктурного проекта по строительству Крымского моста через Керченский пролив. В своём послании Федеральному Собранию президент назвал Крымский мост объектом общенационального значения. Мо</w:t>
      </w:r>
      <w:proofErr w:type="gramStart"/>
      <w:r w:rsidRPr="00886DD6">
        <w:t>ст вст</w:t>
      </w:r>
      <w:proofErr w:type="gramEnd"/>
      <w:r w:rsidRPr="00886DD6">
        <w:t xml:space="preserve">анет на 595 опор, для устройства которых сооружается более 7 тысяч свай, на проекте работают свыше 4,5 тысячи человек, в том числе жители Краснодарского края и Республики Крым, задействовано около 200 единиц техники и 20 единиц различных </w:t>
      </w:r>
      <w:proofErr w:type="spellStart"/>
      <w:r w:rsidRPr="00886DD6">
        <w:t>плавсредств</w:t>
      </w:r>
      <w:proofErr w:type="spellEnd"/>
      <w:r w:rsidRPr="00886DD6">
        <w:t xml:space="preserve">. На сегодняшний день, опережая календарный график, ведутся </w:t>
      </w:r>
      <w:proofErr w:type="gramStart"/>
      <w:r w:rsidRPr="00886DD6">
        <w:lastRenderedPageBreak/>
        <w:t>работы</w:t>
      </w:r>
      <w:proofErr w:type="gramEnd"/>
      <w:r w:rsidRPr="00886DD6">
        <w:t xml:space="preserve"> как на сухопутных участках строительства, так и в акватории. Открытие рабочего движения по автодорожной части запланировано уже на следующий год, по железнодорожной — на 2019 год.</w:t>
      </w:r>
    </w:p>
    <w:p w:rsidR="00903614" w:rsidRPr="00886DD6" w:rsidRDefault="00903614" w:rsidP="00903614">
      <w:pPr>
        <w:pStyle w:val="a3"/>
        <w:ind w:firstLine="567"/>
        <w:jc w:val="both"/>
      </w:pPr>
      <w:proofErr w:type="gramStart"/>
      <w:r w:rsidRPr="00886DD6">
        <w:t>Несмотря на неблагоприятную экономическую ситуацию, за прошлый год на железнодорожном транспорте объём перевозок грузов составил более 1 миллиарда 200 миллионов тонн, что хотя и ненамного, но всё-таки больше, чем показатели 2015 года, введено в эксплуатацию свыше 440 километров дополнительных главных и новых железнодорожных линий, капитальный ремонт и реконструкция выполнены почти на 6 тысячах километров путей.</w:t>
      </w:r>
      <w:proofErr w:type="gramEnd"/>
      <w:r w:rsidRPr="00886DD6">
        <w:t xml:space="preserve"> Впервые за несколько лет превышены показатели по перевозке пассажиров: перевезено более миллиарда пассажиров, в том числе порядка 940 миллионов пассажиров — на линиях пригородного сообщения. Растёт популярность скоростных железнодорожных маршрутов: в прошлом году количество пассажиров, воспользовавшихся поездами "Сапсан", возросло более чем на треть — на 37 процентов — и вплотную приблизилось к рекордной отметке в 5 миллионов человек, в вагонах почти нет свободных мест.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 xml:space="preserve">В связи с ростом спроса на международные перевозки был организован скоростной маршрут Москва — Берлин с инновационной автоматической системой изменения ширины колеи, благодаря которой смена колёсных пар у поездов, которые пересекают границу с Евросоюзом, занимает не более двадцати минут </w:t>
      </w:r>
      <w:proofErr w:type="gramStart"/>
      <w:r w:rsidRPr="00886DD6">
        <w:t>вместо</w:t>
      </w:r>
      <w:proofErr w:type="gramEnd"/>
      <w:r w:rsidRPr="00886DD6">
        <w:t xml:space="preserve"> более </w:t>
      </w:r>
      <w:proofErr w:type="gramStart"/>
      <w:r w:rsidRPr="00886DD6">
        <w:t>чем</w:t>
      </w:r>
      <w:proofErr w:type="gramEnd"/>
      <w:r w:rsidRPr="00886DD6">
        <w:t xml:space="preserve"> двух часов ранее.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>Также знаковым событием в развитии отрасли стал запуск Московского центрального кольца — впервые железнодорожный транспорт так активно стал использоваться в качестве городского общественного транспорта. Удобство пересадки с одного вида транспорта на другой обеспечивает тридцать один транспортно-пересадочный узел; особое внимание уделено доступности перевозок для инвалидов. В пиковые дни Московское центральное кольцо перевозит более 340 тысяч пассажиров, а за полгода с момента запуска его услугами уже воспользовались почти 45 миллионов человек.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 xml:space="preserve">За счёт средств федерального бюджета, Фонда национального благосостояния реализуются проекты по модернизации и развитию </w:t>
      </w:r>
      <w:proofErr w:type="spellStart"/>
      <w:r w:rsidRPr="00886DD6">
        <w:t>БАМа</w:t>
      </w:r>
      <w:proofErr w:type="spellEnd"/>
      <w:r w:rsidRPr="00886DD6">
        <w:t xml:space="preserve">, Транссиба, подходов к портам Мурманска, Дальнего Востока, Азово-Черноморского бассейна, реализуются проекты строительства дорог в обход Украины, проекты развития Московского транспортного узла и инфраструктуры Западной Сибири, также ведётся проектирование высокоскоростной магистрали Москва — Казань. Количество и масштаб реализованных проектов </w:t>
      </w:r>
      <w:proofErr w:type="gramStart"/>
      <w:r w:rsidRPr="00886DD6">
        <w:t>беспрецедентны</w:t>
      </w:r>
      <w:proofErr w:type="gramEnd"/>
      <w:r w:rsidRPr="00886DD6">
        <w:t>, такого не было со времён Советского Союза. Все эти проекты являются необходимым условием обеспечения сбалансированного экономического развития, связанности территории и реализации транзитного потенциала нашей страны.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 xml:space="preserve">В прошлом году при активном участии правительства и Государственной Думы были приняты ключевые решения по долгосрочной поддержке пассажирских перевозок железнодорожным транспортом. Так, до 2030 года установлены нулевая ставка НДС на дальние и пригородные пассажирские перевозки, льготный тариф на услуги инфраструктуры в пригородном сообщении — на компенсацию потерь в доходах от действия льготного тарифа в 2016 году из федерального бюджета было выделено более 32 миллиардов рублей; субсидируются перевозки пассажиров и детей старше десяти лет, это касается поездов дальнего следования, плацкартных и общих вагонов; также субсидии направляются на выравнивание тарифов в сообщении с Калининградской областью. В целом в 2016 году субсидии из федерального бюджета для поддержки железнодорожных </w:t>
      </w:r>
      <w:r w:rsidRPr="00886DD6">
        <w:lastRenderedPageBreak/>
        <w:t xml:space="preserve">пассажирских перевозок составили более 54 миллиардов рублей, и в этом году мы также планируем направить ещё около 47 миллиардов рублей на эти цели. Эти меры позволят пассажирским компаниям не только вести безубыточную деятельность, но и инвестировать в подвижной состав — в </w:t>
      </w:r>
      <w:proofErr w:type="spellStart"/>
      <w:r w:rsidRPr="00886DD6">
        <w:t>инвестпрограмме</w:t>
      </w:r>
      <w:proofErr w:type="spellEnd"/>
      <w:r w:rsidRPr="00886DD6">
        <w:t xml:space="preserve"> "Федеральной пассажирской компании" предусмотрена ежегодная закупка порядка трёхсот современных вагонов отечественного производства, в том числе двухэтажных.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>Я хочу поблагодарить Государственную Думу за системную поддержку, оказываемую по такому социально значимому вопросу, как пассажирские перевозки. В том, что в настоящее время пассажирский комплекс функционирует устойчиво, обеспечивая социальные потребности населения, есть большая заслуга и нынешнего депутатского корпуса — прошу вас, уважаемые депутаты, и в дальнейшем поддерживать наши законодательные инициативы в этой сфере.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>Теперь несколько слов о воздушном транспорте. С учётом сложной ситуации в отрасли в 2016 году перевозки пассажиров на воздушном транспорте снизились на 4 процента, даже чуть менее, до 88,5 миллиона пассажиров, при этом аэропорты страны обслужили рекордное количество пассажиров — 160 миллионов человек, — с учётом непростых для отрасли обстоятельств это можно считать высоким результатом. Я напомню, что в прошлом году отсутствовало воздушное сообщение с Египтом и Украиной, полёты в Турцию были восстановлены только к концу туристического сезона, а ранее совокупный пассажиропоток по этим направлениям составлял 11 миллионов человек в год — эту цифру можно в принципе теоретически приплюсовать к названным ранее данным.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>Отрадно отметить, что авиакомпании сумели оперативно адаптироваться к новым условиям, сосредоточиться на развитии внутренних направлений, и, несмотря на довольно существенное — почти на 19 процентов — падение международных перевозок по ранее названным причинам, рост внутренних воздушных перевозок продолжился: перевезено 56 миллионов пассажиров, что на 7 процентов выше показателей 2015 года. Хорошим примером служат аэропорты Сочи и Симферополя: вместе они обслужили более 10 миллионов человек — рекордный результат для этих курортных воздушных гаваней.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>Одной из самых действенных мер, направленных и на финансовую поддержку перевозчиков, и на формирование доступной цены, является субсидирование воздушных перевозок. В 2016 году по пяти программам субсидирования только из федерального бюджета суммарно были использованы средства в размере более 8 миллиардов рублей, в этом году будет продолжено развитие субсидированных перевозок на Дальний Восток, в Крым, в Калининград — в бюджете заложена аналогичная сумма. При этом программы корректируются с учётом новых потребностей регионов и требований пассажиров. По поручению президента и правительства подготовлен ряд изменений, в соответствии с которыми в том числе предусматривается начало полётов в Крым по льготным тарифам на две недели раньше обычного, а также значительное увеличение числа маршрутов по всем программам субсидирования.</w:t>
      </w:r>
    </w:p>
    <w:p w:rsidR="00903614" w:rsidRPr="00886DD6" w:rsidRDefault="00903614" w:rsidP="00903614">
      <w:pPr>
        <w:pStyle w:val="a3"/>
        <w:ind w:firstLine="567"/>
        <w:jc w:val="both"/>
      </w:pPr>
      <w:proofErr w:type="gramStart"/>
      <w:r w:rsidRPr="00886DD6">
        <w:t>За истекший период нами продолжена работа по строительству и реконструкции объектов инфраструктуры воздушного транспорта с учётом приоритета городов, которые будут принимать чемпионат мира по футболу: уже введены в эксплуатацию новые международные терминалы в Нижнем Новгороде, в Волгограде, в Екатеринбурге, в Тюмени, открыт новый гражданский аэропорт Жуковский в Подмосковье, завершается строительство нового аэропорта в Ростове-на-Дону, а также новых терминалов международных аэропортов</w:t>
      </w:r>
      <w:proofErr w:type="gramEnd"/>
      <w:r w:rsidRPr="00886DD6">
        <w:t xml:space="preserve"> Анапы и Калининграда. Закончена реконструкция </w:t>
      </w:r>
      <w:r w:rsidRPr="00886DD6">
        <w:lastRenderedPageBreak/>
        <w:t>аэродромной инфраструктуры гражданского сектора аэропорта Петрозаводска в Карелии, введена в эксплуатацию после реконструкции взлётно-посадочная полоса в Уфе. В 2016 году были завершены работы по реконструкции объектов аэродромного комплекса аэропорта Елизово в Петропавловске-Камчатском, которые проводились без прекращения его эксплуатационной деятельности, и сейчас аэропорт может принимать практически все типы воздушных судов. Активно реализуются проекты по реконструкц</w:t>
      </w:r>
      <w:proofErr w:type="gramStart"/>
      <w:r w:rsidRPr="00886DD6">
        <w:t>ии аэ</w:t>
      </w:r>
      <w:proofErr w:type="gramEnd"/>
      <w:r w:rsidRPr="00886DD6">
        <w:t>ропортов и аэродромной инфраструктуры в воздушных гаванях Саранска, Самары, Норильска, Хабаровска, Нижнекамска, Воронежа, Зеи, Кызыла, Саратова, Ульяновска и ряда других городов.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 xml:space="preserve">Синхронно с мероприятиями по строительству и реконструкции объектов инфраструктуры ведётся модернизация аэронавигационной системы страны. </w:t>
      </w:r>
      <w:proofErr w:type="gramStart"/>
      <w:r w:rsidRPr="00886DD6">
        <w:t>В прошлом году впервые эти мероприятия осуществлялись без привлечения средств федерального бюджета, исключительно за счёт внебюджетных источников, и одним из ключевых мероприятий является создание пятнадцати укрупнённых центров единой системы организации воздушного движения: в декабре прошлого года введён в эксплуатацию Красноярский укрупнённый центр, в этом году ведутся работы по созданию таких центров в Новосибирске, в Тюмени, в Якутске, в ближайшие месяцы</w:t>
      </w:r>
      <w:proofErr w:type="gramEnd"/>
      <w:r w:rsidRPr="00886DD6">
        <w:t xml:space="preserve"> будет открыт новый современный Московский укрупнённый центр.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 xml:space="preserve">Планомерное наращивание мощностей наших морских портов также </w:t>
      </w:r>
      <w:proofErr w:type="gramStart"/>
      <w:r w:rsidRPr="00886DD6">
        <w:t>приносит свои результаты</w:t>
      </w:r>
      <w:proofErr w:type="gramEnd"/>
      <w:r w:rsidRPr="00886DD6">
        <w:t xml:space="preserve">: объём перевалки грузов в них увеличился за год более чем на 6,5 процента по сравнению с 2015 годом и превысил рекордную планку — 720 миллионов тонн. Продолжаются мероприятия по развитию инфраструктуры в морских портах Мурманска, Калининграда, Большого порта Санкт-Петербург, портов Усть-Луга, Петропавловск-Камчатский, Ванино, Восточный, Новороссийск, Тамань и Темрюк, началась эксплуатация порта </w:t>
      </w:r>
      <w:proofErr w:type="spellStart"/>
      <w:r w:rsidRPr="00886DD6">
        <w:t>Бронка</w:t>
      </w:r>
      <w:proofErr w:type="spellEnd"/>
      <w:r w:rsidRPr="00886DD6">
        <w:t xml:space="preserve"> в Санкт-Петербурге, завершены реконструкция здания морского вокзала в Мурманске и строительство морского вокзала в Петропавловске-Камчатском.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>Обновляется наш ледокольный флот: поднят Государственный флаг Российской Федерации над дизель-электрическим ледоколом "Новороссийск" мощностью 16 мегаватт, уже третьим в этой серии, и спущен на воду самый современный на сегодняшний день неатомный ледокол "Виктор Черномырдин" мощностью 25 мегаватт.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 xml:space="preserve">В прошлом году правительством </w:t>
      </w:r>
      <w:proofErr w:type="gramStart"/>
      <w:r w:rsidRPr="00886DD6">
        <w:t>была утверждена Стратегия развития внутреннего водного транспорта Российской Федерации на период до 2030 года и впервые на заседании президиума Госсовета рассматривался</w:t>
      </w:r>
      <w:proofErr w:type="gramEnd"/>
      <w:r w:rsidRPr="00886DD6">
        <w:t xml:space="preserve"> вопрос о развитии внутренних водных путей. Приняты </w:t>
      </w:r>
      <w:proofErr w:type="gramStart"/>
      <w:r w:rsidRPr="00886DD6">
        <w:t>ключевые решения о поэтапном переходе на нормативное содержание внутренних водных путей и судоходных гидротехнических сооружений начиная</w:t>
      </w:r>
      <w:proofErr w:type="gramEnd"/>
      <w:r w:rsidRPr="00886DD6">
        <w:t xml:space="preserve"> со следующего, 2018 года за счёт дополнительных бюджетных ассигнований, а также о долгосрочной государственной поддержке строительства российских гражданских судов. Принят федеральный закон, который даёт возможность субъектам участвовать в </w:t>
      </w:r>
      <w:proofErr w:type="spellStart"/>
      <w:r w:rsidRPr="00886DD6">
        <w:t>софинансировании</w:t>
      </w:r>
      <w:proofErr w:type="spellEnd"/>
      <w:r w:rsidRPr="00886DD6">
        <w:t xml:space="preserve"> содержания внутренних водных путей федерального значения и содержать пути регионального значения. Таким образом, были созданы необходимые предпосылки для улучшения инфраструктуры и увеличения объёма перевозок пассажиров и грузов, а также, что немаловажно, обновления флота.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 xml:space="preserve">В прошлом году были завершены работы по очередным этапам реконструкции гидросооружений </w:t>
      </w:r>
      <w:proofErr w:type="spellStart"/>
      <w:r w:rsidRPr="00886DD6">
        <w:t>Беломорско-Балтийского</w:t>
      </w:r>
      <w:proofErr w:type="spellEnd"/>
      <w:r w:rsidRPr="00886DD6">
        <w:t xml:space="preserve"> канала, Азово-Донского бассейна, продолжаются работы по строительству и реконструкции Московского, Волжского, </w:t>
      </w:r>
      <w:proofErr w:type="spellStart"/>
      <w:r w:rsidRPr="00886DD6">
        <w:t>Беломорско-Онежского</w:t>
      </w:r>
      <w:proofErr w:type="spellEnd"/>
      <w:r w:rsidRPr="00886DD6">
        <w:t xml:space="preserve">, Северо-Двинского, Волго-Донского, Азово-Донского и </w:t>
      </w:r>
      <w:r w:rsidRPr="00886DD6">
        <w:lastRenderedPageBreak/>
        <w:t xml:space="preserve">Енисейского бассейнов. Завершены инженерные изыскания для строительства Нижегородского низконапорного гидроузла на Волге, и уже </w:t>
      </w:r>
      <w:proofErr w:type="gramStart"/>
      <w:r w:rsidRPr="00886DD6">
        <w:t>заключён</w:t>
      </w:r>
      <w:proofErr w:type="gramEnd"/>
      <w:r w:rsidRPr="00886DD6">
        <w:t xml:space="preserve"> </w:t>
      </w:r>
      <w:proofErr w:type="spellStart"/>
      <w:r w:rsidRPr="00886DD6">
        <w:t>госконтракт</w:t>
      </w:r>
      <w:proofErr w:type="spellEnd"/>
      <w:r w:rsidRPr="00886DD6">
        <w:t xml:space="preserve"> на проектирование Багаевского гидроузла на Дону.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>В 2016 году была продолжена работа по улучшению транспортных связей Крымского полуострова с остальной территорией страны. Про рост показателей в авиасообщении я уже говорил, объём перевозок пассажиров через Керченскую паромную переправу в обоих направлениях также превысил отметку 6 миллионов человек, и это на 30 процентов превышает прошлогодние показатели.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>По предварительным данным, за прошлый год автомобильным транспортом общего пользования перевезено более 11 миллиардов пассажиров. Мы наблюдаем небольшое снижение показателей, в пределах 2 процентов, но при этом объём перевозок грузов возрос почти на 2 процента и превысил отметку 5 миллиардов тонн. В международном автомобильном сообщении объём перевозок вырос почти на 7 процентов и составил более 27 миллионов тонн. В условиях сохраняющихся ограничений на ввоз продовольственной продукции из стран Европейского союза увеличение обеспечилось в основном за счёт наших экспортных поставок. Наращиваются грузопотоки из Китая, Сербии, Ирана, значительно возросли объёмы перевозок между Россией и рядом стран СНГ, в первую очередь Арменией, Азербайджаном и Узбекистаном. Подписано межправительственное соглашение о международных автомобильных перевозках по сети азиатских автомобильных дорог между Россией, Китаем и Монголией.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 xml:space="preserve">По итогам 2016 года в нашей стране установлено 392 пункта пропуска через государственную границу, 311 из них функционируют — в прошлом году велась работа по обеспечению их бесперебойной работы, повышению антитеррористической защищённости, — завершены строительство и реконструкция пяти пунктов пропуска. В рамках подготовки к проведению чемпионата мира по футболу в полном объёме завершено </w:t>
      </w:r>
      <w:proofErr w:type="spellStart"/>
      <w:r w:rsidRPr="00886DD6">
        <w:t>техперевооружение</w:t>
      </w:r>
      <w:proofErr w:type="spellEnd"/>
      <w:r w:rsidRPr="00886DD6">
        <w:t xml:space="preserve"> десяти воздушных пунктов пропуска из тринадцати запланированных.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 xml:space="preserve">Уважаемые депутаты, защита объектов транспортной инфраструктуры, транспортных средств от угроз природного, техногенного и террористического характера, безопасность и сохранение жизни и здоровья граждан всегда остаются нашими приоритетами. Минтрансом России в тесном взаимодействии с ФСБ, МВД России ведётся системная целенаправленная работа по совершенствованию нормативно-правовой базы в сфере транспортной безопасности, что направлено на повышение уровня защищённости транспортного комплекса от актов незаконного вмешательства, </w:t>
      </w:r>
      <w:proofErr w:type="gramStart"/>
      <w:r w:rsidRPr="00886DD6">
        <w:t>включая</w:t>
      </w:r>
      <w:proofErr w:type="gramEnd"/>
      <w:r w:rsidRPr="00886DD6">
        <w:t xml:space="preserve"> в том числе теракты. С учётом динамично меняющегося характера террористических угроз, реальности, масштабности и международного значения этой проблемы прошу вас в приоритетном порядке рассматривать все законопроекты, которыми предлагаются изменения в Федеральный закон "О транспортной безопасности". Нами продолжается реализация запланированных мероприятий по безопасности, в том числе связанных с проведением Кубка конфедераций, чемпионата мира по футболу. Особый акцент, конечно, сделан на комплексной работе по Крымскому мосту с учётом общественно-политического значения этого объекта в целом.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>Достижение отраслью намеченных результатов невозможно без твёрдой правовой основы, и за прошлый год было принято четырнадцать федеральных законов в сфере транспорта. Хочу ещё раз поблагодарить депутатов предыдущего созыва, многие из которых и сегодня в этом зале, за содержательную работу и оперативное рассмотрение законодательных инициатив.</w:t>
      </w:r>
    </w:p>
    <w:p w:rsidR="00903614" w:rsidRPr="00886DD6" w:rsidRDefault="00903614" w:rsidP="00903614">
      <w:pPr>
        <w:pStyle w:val="a3"/>
        <w:ind w:firstLine="567"/>
        <w:jc w:val="both"/>
      </w:pPr>
      <w:proofErr w:type="gramStart"/>
      <w:r w:rsidRPr="00886DD6">
        <w:lastRenderedPageBreak/>
        <w:t>Для комплексного решения задач кадрового и научного обеспечения транспортной отрасли, реализации Транспортной стратегии Российской Федерации правительством принято решение о создании российского транспортного университета на базе нашего старейшего транспортного вуза — Московского государственного университета путей сообщения Императора Николая II, — университета нового типа, который станет базовым для всей системы подготовки кадров в транспортной отрасли.</w:t>
      </w:r>
      <w:proofErr w:type="gramEnd"/>
    </w:p>
    <w:p w:rsidR="00903614" w:rsidRPr="00886DD6" w:rsidRDefault="00903614" w:rsidP="00903614">
      <w:pPr>
        <w:pStyle w:val="a3"/>
        <w:ind w:firstLine="567"/>
        <w:jc w:val="both"/>
      </w:pPr>
      <w:r w:rsidRPr="00886DD6">
        <w:t>На международной арене также ведётся работа по формированию нового облика транспортного пространства Евразии, общего рынка транспортных услуг в рамках Евразийского экономического союза. Заметно активизировалось сотрудничество со странами Азиатско-Тихоокеанского региона, в частности с Индонезией, Сингапуром, Китаем, Республикой Корея, Японией, расширяется участие в деятельности многосторонних механизмов, таких как ЭСКАТО, АТЭС, ШОС и АСЕАН. Состоявшиеся в декабре 2016 года в Москве министерская конференция ЭСКАТО по транспорту и первая встреча министров транспорта России и стран АСЕАН закрепили за нашей страной лидирующие позиции на транспортном треке в Азиатско-Тихоокеанском регионе.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 xml:space="preserve">Коротко расскажу о наших планах на этот год. </w:t>
      </w:r>
      <w:proofErr w:type="gramStart"/>
      <w:r w:rsidRPr="00886DD6">
        <w:t>В этом году наши усилия будут направлены на обеспечение устойчивой и безопасной работы транспортного комплекса, продолжение реализации проектов развития, имеющих важное государственное значение, в первую очередь это завершение строительства Крымского моста и подходов к нему для планового ввода автодорожной части в следующем году, завершение объектов чемпионата мира по футболу, в том числе открытие в Ростове нового аэропорта Платов.</w:t>
      </w:r>
      <w:proofErr w:type="gramEnd"/>
      <w:r w:rsidRPr="00886DD6">
        <w:t xml:space="preserve"> Продолжится строительство важнейших участков автомобильных дорог коридора Европа — Западный Китай, в том числе Центральной кольцевой автомобильной дороги и трассы М-11 Москва — Санкт-Петербург, а также проектов, реализуемых на принципах государственно-частного партнёрства с привлечением внебюджетных инвестиций.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 xml:space="preserve">В этом году мы планируем ввести в эксплуатацию участки дорог на территориях Дальнего Востока, Северного Кавказа, Республики Татарстан, Московской, Ленинградской, Калужской, Тверской, Новгородской и Мурманской областей. На 9 тысячах километров федеральных трасс будут проведены ремонтные работы, и эти мероприятия позволят довести долю федеральных дорог в нормативном состоянии с 71 процента </w:t>
      </w:r>
      <w:proofErr w:type="gramStart"/>
      <w:r w:rsidRPr="00886DD6">
        <w:t>до</w:t>
      </w:r>
      <w:proofErr w:type="gramEnd"/>
      <w:r w:rsidRPr="00886DD6">
        <w:t xml:space="preserve"> более </w:t>
      </w:r>
      <w:proofErr w:type="gramStart"/>
      <w:r w:rsidRPr="00886DD6">
        <w:t>чем</w:t>
      </w:r>
      <w:proofErr w:type="gramEnd"/>
      <w:r w:rsidRPr="00886DD6">
        <w:t xml:space="preserve"> 77 процентов их общей протяженности. Продолжится развитие крупных транспортных узлов — Московского железнодорожного узла, прежде всего его радиальных линий, а также узла Восточный — Находка и Мурманского транспортного узла. На воздушном транспорте завершится строительство новых пассажирских терминалов в аэропортах Перми, Анапы, Калининграда, будут введены в эксплуатацию взлётно-посадочные полосы в аэропортах Ульяновска и Кызыла. Продолжится субсидирование социально значимых перевозок и развитие региональной маршрутной сети. Начнёт полномасштабную эксплуатацию порт </w:t>
      </w:r>
      <w:proofErr w:type="spellStart"/>
      <w:r w:rsidRPr="00886DD6">
        <w:t>Сабетта</w:t>
      </w:r>
      <w:proofErr w:type="spellEnd"/>
      <w:r w:rsidRPr="00886DD6">
        <w:t>, и будут реконструированы гидротехнические сооружения на многих бассейнах водных путей нашей страны.</w:t>
      </w:r>
    </w:p>
    <w:p w:rsidR="00903614" w:rsidRPr="00886DD6" w:rsidRDefault="00903614" w:rsidP="00903614">
      <w:pPr>
        <w:pStyle w:val="a3"/>
        <w:ind w:firstLine="567"/>
        <w:jc w:val="center"/>
      </w:pPr>
      <w:r w:rsidRPr="00AB4C65">
        <w:rPr>
          <w:b/>
        </w:rPr>
        <w:t xml:space="preserve">Выступление </w:t>
      </w:r>
      <w:proofErr w:type="gramStart"/>
      <w:r w:rsidRPr="00AB4C65">
        <w:rPr>
          <w:b/>
        </w:rPr>
        <w:t>аудитора Счётной палаты Российской Федерации Валерия Николаевича</w:t>
      </w:r>
      <w:proofErr w:type="gramEnd"/>
      <w:r w:rsidRPr="00AB4C65">
        <w:rPr>
          <w:b/>
        </w:rPr>
        <w:t xml:space="preserve"> 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 xml:space="preserve">На реализацию мероприятий государственной программы "Развитие транспортной системы" в 2016 году направлено 825,1 миллиарда рублей; уровень исполнения — 95,9 процента, что ниже даже аналогичного показателя за 2015 год: сумма неиспользованных бюджетных ассигнований в 2015 году составила 31,4 миллиарда рублей, а в 2016 году увеличилась до 33,8 миллиарда рублей; наибольший объём в </w:t>
      </w:r>
      <w:proofErr w:type="spellStart"/>
      <w:r w:rsidRPr="00886DD6">
        <w:t>Росавиации</w:t>
      </w:r>
      <w:proofErr w:type="spellEnd"/>
      <w:r w:rsidRPr="00886DD6">
        <w:t xml:space="preserve"> — 17,1 миллиарда рублей и в </w:t>
      </w:r>
      <w:proofErr w:type="spellStart"/>
      <w:r w:rsidRPr="00886DD6">
        <w:t>Росавтодоре</w:t>
      </w:r>
      <w:proofErr w:type="spellEnd"/>
      <w:r w:rsidRPr="00886DD6">
        <w:t xml:space="preserve"> — 14,9 миллиарда рублей.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lastRenderedPageBreak/>
        <w:t xml:space="preserve">По итогам 2016 года Минтрансом России и его федеральными агентствами не достигнуты плановые значения по тридцати пяти из семидесяти двух индикаторов (показателей) государственной программы, в частности </w:t>
      </w:r>
      <w:proofErr w:type="spellStart"/>
      <w:r w:rsidRPr="00886DD6">
        <w:t>Росавиацией</w:t>
      </w:r>
      <w:proofErr w:type="spellEnd"/>
      <w:r w:rsidRPr="00886DD6">
        <w:t xml:space="preserve"> не обеспечено выполнение планового показателя по строительству и реконструкции взлётно-посадочных полос, </w:t>
      </w:r>
      <w:proofErr w:type="spellStart"/>
      <w:r w:rsidRPr="00886DD6">
        <w:t>Росжелдором</w:t>
      </w:r>
      <w:proofErr w:type="spellEnd"/>
      <w:r w:rsidRPr="00886DD6">
        <w:t xml:space="preserve"> — по строительству дополнительных главных путей и новых железнодорожных линий. Таким образом, эффективность государственной программы находится на низком уровне.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>В 2016 году уменьшилась на 1,1 миллиарда рублей выявленная сумма бюджетных ассигнований, использованных с нарушением бюджетного и иного законодательства, но всё равно объём этих нарушений значительный и суммарно превышает 20 миллиардов рублей. Основная часть нарушений связана с несоблюдением установленного порядка предоставления межбюджетных субсидий: принятие бюджетных обязательств в размерах, превышающих утверждённые лимиты бюджетных обязательств, нарушение при обосновании и определении начальной цены контрактов, имеются недостатки при планировании обоснований бюджетных ассигнований. Приведу несколько примеров.</w:t>
      </w:r>
    </w:p>
    <w:p w:rsidR="00903614" w:rsidRPr="00886DD6" w:rsidRDefault="00903614" w:rsidP="00903614">
      <w:pPr>
        <w:pStyle w:val="a3"/>
        <w:ind w:firstLine="567"/>
        <w:jc w:val="both"/>
      </w:pPr>
      <w:proofErr w:type="gramStart"/>
      <w:r w:rsidRPr="00886DD6">
        <w:t xml:space="preserve">В федеральном бюджете на 2016 год </w:t>
      </w:r>
      <w:proofErr w:type="spellStart"/>
      <w:r w:rsidRPr="00886DD6">
        <w:t>Росжелдору</w:t>
      </w:r>
      <w:proofErr w:type="spellEnd"/>
      <w:r w:rsidRPr="00886DD6">
        <w:t xml:space="preserve"> были предусмотрены бюджетные ассигнования в сумме 2 миллиарда рублей на финансирование строительства железнодорожной линии Беркакит — Томмот — Якутск, при этом строительство указанного объекта не ведётся уже с 2014 года, между заказчиком и подрядчиком более двух лет продолжаются судебные разбирательства — видимо, исполняющий обязанности руководителя агентства Чепец Владимир Юрьевич не знал об этом, когда запрашивал подобную</w:t>
      </w:r>
      <w:proofErr w:type="gramEnd"/>
      <w:r w:rsidRPr="00886DD6">
        <w:t xml:space="preserve"> сумму на реконструкцию этого объекта, — в результате утверждённые бюджетные назначения в 2016 году не использованы. По предложению </w:t>
      </w:r>
      <w:proofErr w:type="spellStart"/>
      <w:r w:rsidRPr="00886DD6">
        <w:t>Росжелдора</w:t>
      </w:r>
      <w:proofErr w:type="spellEnd"/>
      <w:r w:rsidRPr="00886DD6">
        <w:t xml:space="preserve"> изменения в сводную бюджетную роспись были внесены только в декабре 2016 года. Таким образом, в течение всего года указанные бюджетные ассигнования на цели развития железнодорожной инфраструктуры не работали.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 xml:space="preserve">Бюджетные ассигнования в размере 4,6 миллиарда рублей </w:t>
      </w:r>
      <w:proofErr w:type="spellStart"/>
      <w:r w:rsidRPr="00886DD6">
        <w:t>Росавиации</w:t>
      </w:r>
      <w:proofErr w:type="spellEnd"/>
      <w:r w:rsidRPr="00886DD6">
        <w:t xml:space="preserve">, утверждённые на строительство новой взлётно-посадочной полосы в Шереметьево в полном объёме остались не использованными. Положительное заключение государственной экспертизы на проектно-сметную документацию по объекту получено только 30 декабря 2016 года, но разве, когда планировали бюджетные ассигнования на 2016 год, не было известно, что нет заключения </w:t>
      </w:r>
      <w:proofErr w:type="spellStart"/>
      <w:r w:rsidRPr="00886DD6">
        <w:t>Главэкспертизы</w:t>
      </w:r>
      <w:proofErr w:type="spellEnd"/>
      <w:r w:rsidRPr="00886DD6">
        <w:t xml:space="preserve"> и необходимо время для его получения?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 xml:space="preserve">Подобное планирование негативно влияет на выполнение показателей федеральной адресной инвестиционной программы, в частности в 2016 году не введено в эксплуатацию установленным порядком около двадцати объектов, заказчиками основной части данных объектов являются </w:t>
      </w:r>
      <w:proofErr w:type="spellStart"/>
      <w:r w:rsidRPr="00886DD6">
        <w:t>Росавиация</w:t>
      </w:r>
      <w:proofErr w:type="spellEnd"/>
      <w:r w:rsidRPr="00886DD6">
        <w:t xml:space="preserve"> и </w:t>
      </w:r>
      <w:proofErr w:type="spellStart"/>
      <w:r w:rsidRPr="00886DD6">
        <w:t>Росавтодор</w:t>
      </w:r>
      <w:proofErr w:type="spellEnd"/>
      <w:r w:rsidRPr="00886DD6">
        <w:t xml:space="preserve">. Минтрансу и его агентствам необходимо принять меры по совершенствованию и организации работы по планированию и распределению бюджетных ассигнований, получаемых на предоставление межбюджетных трансфертов субъектам Российской Федерации. Так, из 136,5 миллиарда рублей, предусмотренных в сводной бюджетной росписи </w:t>
      </w:r>
      <w:proofErr w:type="spellStart"/>
      <w:r w:rsidRPr="00886DD6">
        <w:t>Росавтодору</w:t>
      </w:r>
      <w:proofErr w:type="spellEnd"/>
      <w:r w:rsidRPr="00886DD6">
        <w:t xml:space="preserve"> на предоставление межбюджетных трансфертов субъектам Российской Федерации, исполнение составило 123 миллиарда рублей, или 90 процентов. В 2016 году субъектами Российской Федерации возвращены в доход федерального бюджета неиспользованные межбюджетные трансферты за 2015 год, в сумме составляющие 27 миллиардов рублей. Более половины годового объёма межбюджетных трансфертов, предусмотренных на 2016 год, или 73,6 миллиарда рублей, — обратите внимание! — использованы субъектами в четвёртом квартале.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lastRenderedPageBreak/>
        <w:t xml:space="preserve">Не на должном уровне осуществляется анализ возможностей использования в планируемом периоде бюджетных ассигнований, предоставляемых подведомственным организациям в виде субсидий и взносов в уставные капиталы. </w:t>
      </w:r>
      <w:proofErr w:type="gramStart"/>
      <w:r w:rsidRPr="00886DD6">
        <w:t>Так, из 4,9 миллиарда рублей, перечисленных в 2015 году Минтрансу России в виде взноса в уставный капитал акционерного общества "Государственная транспортная лизинговая компания" для реализации программы некоммерческого лизинга городского пассажирского транспорта, а также наземного электрического транспорта на территории Крыма, по состоянию на 1 января 2016 года не было использовано 3,2 миллиарда рублей, в течение 2016 года использовано только 72 процента</w:t>
      </w:r>
      <w:proofErr w:type="gramEnd"/>
      <w:r w:rsidRPr="00886DD6">
        <w:t xml:space="preserve"> указанного остатка.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 xml:space="preserve">Планирование доходов федерального бюджета осуществлялось на низком уровне. В расчётах к проекту федерального закона "О федеральном бюджете на 2016 год" и при внесении в него изменений учитывались не все доходы, поступающие в федеральный бюджет. В результате доходы, </w:t>
      </w:r>
      <w:proofErr w:type="spellStart"/>
      <w:r w:rsidRPr="00886DD6">
        <w:t>администрированные</w:t>
      </w:r>
      <w:proofErr w:type="spellEnd"/>
      <w:r w:rsidRPr="00886DD6">
        <w:t xml:space="preserve"> </w:t>
      </w:r>
      <w:proofErr w:type="spellStart"/>
      <w:r w:rsidRPr="00886DD6">
        <w:t>Росморречфлотом</w:t>
      </w:r>
      <w:proofErr w:type="spellEnd"/>
      <w:r w:rsidRPr="00886DD6">
        <w:t>, превысили прогнозные показатели на 230 процентов!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 xml:space="preserve">Подведомственными Минтрансу России федеральными агентствами не соблюдались требования нормативных правовых актов при формировании объёма субсидий на финансовое обеспечение выполнения государственного задания на 2016 год. Так, </w:t>
      </w:r>
      <w:proofErr w:type="spellStart"/>
      <w:r w:rsidRPr="00886DD6">
        <w:t>Росжелдором</w:t>
      </w:r>
      <w:proofErr w:type="spellEnd"/>
      <w:r w:rsidRPr="00886DD6">
        <w:t xml:space="preserve">, </w:t>
      </w:r>
      <w:proofErr w:type="spellStart"/>
      <w:r w:rsidRPr="00886DD6">
        <w:t>Росавиацией</w:t>
      </w:r>
      <w:proofErr w:type="spellEnd"/>
      <w:r w:rsidRPr="00886DD6">
        <w:t xml:space="preserve">, </w:t>
      </w:r>
      <w:proofErr w:type="spellStart"/>
      <w:r w:rsidRPr="00886DD6">
        <w:t>Росавтодором</w:t>
      </w:r>
      <w:proofErr w:type="spellEnd"/>
      <w:r w:rsidRPr="00886DD6">
        <w:t xml:space="preserve"> не утверждались территориальные корректирующие коэффициенты к базовым нормативам затрат в сфере образования и здравоохранения, а это требование ФЦП. Выявлены недостатки при формировании бюджетных ассигнований на 2016 год на обеспечение выполнения функций федеральных государственных органов: </w:t>
      </w:r>
      <w:proofErr w:type="spellStart"/>
      <w:r w:rsidRPr="00886DD6">
        <w:t>Росжелдором</w:t>
      </w:r>
      <w:proofErr w:type="spellEnd"/>
      <w:r w:rsidRPr="00886DD6">
        <w:t xml:space="preserve"> не утверждены расчёты нормативных затрат на отдельные виды работ, а Минтрансом России — на обеспечение выполнения функций подведомственного казённого учреждения.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 xml:space="preserve">На реализацию приоритетных инвестиционных проектов по развитию транспортной и дорожной инфраструктуры направлен значительный объём средств Фонда национального благосостояния, однако истребование указанных средств осуществлялось без должного анализа возможностей их использования в запланированные сроки, без наличия проектно-сметной документации и положительного заключения на неё, а также других документов, необходимых для организации строительства объектов. По этой причине использование средств осуществляется крайне низкими темпами, сроки строительства, предусмотренные паспортами проектов, не соблюдаются. Так, из 50 миллиардов рублей, выделенных в марте 2015 года на реализацию инвестиционного проекта модернизации железнодорожной инфраструктуры </w:t>
      </w:r>
      <w:proofErr w:type="spellStart"/>
      <w:r w:rsidRPr="00886DD6">
        <w:t>БАМа</w:t>
      </w:r>
      <w:proofErr w:type="spellEnd"/>
      <w:r w:rsidRPr="00886DD6">
        <w:t xml:space="preserve"> и Транссиба, на начало 2017 года не использован 21 миллиард рублей, или 42 процента от общей суммы; завершение работ по ряду объектов, предусмотренных к вводу в эксплуатацию в 2016 году, не обеспечено. В связи с низким уровнем выполнения работ на объектах строительства завершение реализации мероприятий инвестиционного проекта перенесено с 2017 года на 2019 год. Учитывая, что бюджетные средства в виде взносов в основной капитал "РЖД" выделялись через </w:t>
      </w:r>
      <w:proofErr w:type="spellStart"/>
      <w:r w:rsidRPr="00886DD6">
        <w:t>Росжелдор</w:t>
      </w:r>
      <w:proofErr w:type="spellEnd"/>
      <w:r w:rsidRPr="00886DD6">
        <w:t xml:space="preserve">, указанному федеральному агентству нужно усилить </w:t>
      </w:r>
      <w:proofErr w:type="gramStart"/>
      <w:r w:rsidRPr="00886DD6">
        <w:t>контроль за</w:t>
      </w:r>
      <w:proofErr w:type="gramEnd"/>
      <w:r w:rsidRPr="00886DD6">
        <w:t xml:space="preserve"> реализацией проекта.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 xml:space="preserve">Государственной компанией "Российские автомобильные дороги" не соблюдаются плановые сроки реализации инвестиционного проекта по строительству Центральной кольцевой автомобильной дороги в Московской области. Кроме того, всем известна ситуация с состоянием автомобильных дорог регионального значения. По состоянию на 1 января 2017 года не соответствует нормативным требованиям более 60 процентов региональных дорог. Более половины граждан, принявших участие в опросе, проведённом Счётной палатой, считают, что уровень содержания региональных дорог находится в </w:t>
      </w:r>
      <w:r w:rsidRPr="00886DD6">
        <w:lastRenderedPageBreak/>
        <w:t xml:space="preserve">неудовлетворительном состоянии, качество ремонта дорог крайне низкое. </w:t>
      </w:r>
      <w:proofErr w:type="gramStart"/>
      <w:r w:rsidRPr="00886DD6">
        <w:t>При этом результаты анализа формирования и использования бюджетных ассигнований дорожных фондов, проведённого Счётной палатой, — подчеркиваю, по всем субъектам Российской Федерации была проведена видеоконференция — показали, что требования, установленные Бюджетным кодексом, многими субъектами Российской Федерации не соблюдаются, объёмы бюджетных ассигнований дорожных фондов утверждаются ниже прогнозируемых показателей поступления доходов от акцизов на нефтепродукты и транспортного налога.</w:t>
      </w:r>
      <w:proofErr w:type="gramEnd"/>
      <w:r w:rsidRPr="00886DD6">
        <w:t xml:space="preserve"> В нарушение норм Бюджетного кодекса неиспользованные средства в дорожных фондах в текущем году не направляются на их увеличение в очередном году: при формировании дорожного фонда на 2016 год пятьдесят три субъекта не учли неиспользованные в 2015 году бюджетные ассигнования на общую сумму 76,7 миллиарда рублей.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>Дорожные фонды субъектов Российской Федерации недополучают значительные объёмы средств из-за низкого качества администрирования доходов, полученных от уплаты транспортного налога. Требования Федерального закона "Об автомобильных дорогах..." в части планирования дорожной деятельности на основании нормативов финансовых затрат не соблюдаются, многие субъекты при разработке нормативов не учитывали имеющиеся средства и региональные особенности.</w:t>
      </w:r>
    </w:p>
    <w:p w:rsidR="00903614" w:rsidRPr="00886DD6" w:rsidRDefault="00903614" w:rsidP="00903614">
      <w:pPr>
        <w:pStyle w:val="a3"/>
        <w:ind w:firstLine="567"/>
        <w:jc w:val="both"/>
      </w:pPr>
      <w:r w:rsidRPr="00886DD6">
        <w:t>В заключение хотелось бы сказать, что Министерством транспорта проводится большая работа по развитию транспортной и дорожной инфраструктуры, на выполнение которой выделяются значительные государственные средства. Для повышения результативности и эффективности использования бюджетных ассигнований Минтрансу и подведомственным агентствам необходимо обратить внимание на проблемы, которые мы указали в наших актах и отчётах.</w:t>
      </w:r>
    </w:p>
    <w:p w:rsidR="00B3675B" w:rsidRDefault="00B3675B"/>
    <w:sectPr w:rsidR="00B3675B" w:rsidSect="00B3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3614"/>
    <w:rsid w:val="00903614"/>
    <w:rsid w:val="00B3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4938</Words>
  <Characters>28148</Characters>
  <Application>Microsoft Office Word</Application>
  <DocSecurity>0</DocSecurity>
  <Lines>234</Lines>
  <Paragraphs>66</Paragraphs>
  <ScaleCrop>false</ScaleCrop>
  <Company>Архангельское областное Собрание депутатов</Company>
  <LinksUpToDate>false</LinksUpToDate>
  <CharactersWithSpaces>33020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bandura</dc:creator>
  <cp:keywords/>
  <dc:description/>
  <cp:lastModifiedBy>bandura</cp:lastModifiedBy>
  <cp:revision>2</cp:revision>
  <dcterms:created xsi:type="dcterms:W3CDTF">2017-04-10T05:58:00Z</dcterms:created>
  <dcterms:modified xsi:type="dcterms:W3CDTF">2017-04-10T05:58:00Z</dcterms:modified>
</cp:coreProperties>
</file>