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1057" w:type="dxa"/>
        <w:tblInd w:w="-1026" w:type="dxa"/>
        <w:tblLayout w:type="fixed"/>
        <w:tblLook w:val="04A0"/>
      </w:tblPr>
      <w:tblGrid>
        <w:gridCol w:w="459"/>
        <w:gridCol w:w="5353"/>
        <w:gridCol w:w="5245"/>
      </w:tblGrid>
      <w:tr w:rsidR="00657A8B" w:rsidRPr="00657A8B" w:rsidTr="00657A8B">
        <w:tc>
          <w:tcPr>
            <w:tcW w:w="459" w:type="dxa"/>
          </w:tcPr>
          <w:p w:rsidR="00657A8B" w:rsidRPr="00EA16CE" w:rsidRDefault="00657A8B" w:rsidP="00657A8B">
            <w:pPr>
              <w:pStyle w:val="80"/>
              <w:shd w:val="clear" w:color="auto" w:fill="auto"/>
              <w:tabs>
                <w:tab w:val="left" w:pos="2268"/>
              </w:tabs>
              <w:spacing w:line="240" w:lineRule="auto"/>
              <w:rPr>
                <w:i/>
                <w:sz w:val="20"/>
                <w:szCs w:val="20"/>
              </w:rPr>
            </w:pPr>
            <w:r w:rsidRPr="00EA16CE">
              <w:rPr>
                <w:i/>
                <w:sz w:val="20"/>
                <w:szCs w:val="20"/>
              </w:rPr>
              <w:t xml:space="preserve">№ </w:t>
            </w:r>
            <w:proofErr w:type="spellStart"/>
            <w:proofErr w:type="gramStart"/>
            <w:r w:rsidRPr="00EA16CE">
              <w:rPr>
                <w:i/>
                <w:sz w:val="20"/>
                <w:szCs w:val="20"/>
              </w:rPr>
              <w:t>п</w:t>
            </w:r>
            <w:proofErr w:type="spellEnd"/>
            <w:proofErr w:type="gramEnd"/>
            <w:r w:rsidRPr="00EA16CE">
              <w:rPr>
                <w:i/>
                <w:sz w:val="20"/>
                <w:szCs w:val="20"/>
              </w:rPr>
              <w:t>/</w:t>
            </w:r>
            <w:proofErr w:type="spellStart"/>
            <w:r w:rsidRPr="00EA16CE">
              <w:rPr>
                <w:i/>
                <w:sz w:val="20"/>
                <w:szCs w:val="20"/>
              </w:rPr>
              <w:t>п</w:t>
            </w:r>
            <w:proofErr w:type="spellEnd"/>
          </w:p>
        </w:tc>
        <w:tc>
          <w:tcPr>
            <w:tcW w:w="5353" w:type="dxa"/>
          </w:tcPr>
          <w:p w:rsidR="00657A8B" w:rsidRPr="00EA16CE" w:rsidRDefault="00657A8B" w:rsidP="00657A8B">
            <w:pPr>
              <w:pStyle w:val="80"/>
              <w:shd w:val="clear" w:color="auto" w:fill="auto"/>
              <w:spacing w:line="240" w:lineRule="auto"/>
              <w:rPr>
                <w:i/>
                <w:sz w:val="20"/>
                <w:szCs w:val="20"/>
              </w:rPr>
            </w:pPr>
            <w:r w:rsidRPr="00EA16CE">
              <w:rPr>
                <w:i/>
                <w:sz w:val="20"/>
                <w:szCs w:val="20"/>
              </w:rPr>
              <w:t>Проблема</w:t>
            </w:r>
          </w:p>
        </w:tc>
        <w:tc>
          <w:tcPr>
            <w:tcW w:w="5245" w:type="dxa"/>
          </w:tcPr>
          <w:p w:rsidR="00657A8B" w:rsidRPr="00EA16CE" w:rsidRDefault="00657A8B" w:rsidP="00657A8B">
            <w:pPr>
              <w:pStyle w:val="80"/>
              <w:shd w:val="clear" w:color="auto" w:fill="auto"/>
              <w:spacing w:line="240" w:lineRule="auto"/>
              <w:rPr>
                <w:i/>
                <w:sz w:val="20"/>
                <w:szCs w:val="20"/>
              </w:rPr>
            </w:pPr>
            <w:r w:rsidRPr="00EA16CE">
              <w:rPr>
                <w:i/>
                <w:sz w:val="20"/>
                <w:szCs w:val="20"/>
              </w:rPr>
              <w:t>Решение проблемы</w:t>
            </w:r>
          </w:p>
        </w:tc>
      </w:tr>
      <w:tr w:rsidR="00657A8B" w:rsidRPr="00657A8B" w:rsidTr="00657A8B">
        <w:tc>
          <w:tcPr>
            <w:tcW w:w="11057" w:type="dxa"/>
            <w:gridSpan w:val="3"/>
          </w:tcPr>
          <w:p w:rsidR="00657A8B" w:rsidRPr="00EA16CE" w:rsidRDefault="00657A8B" w:rsidP="00657A8B">
            <w:pPr>
              <w:pStyle w:val="80"/>
              <w:shd w:val="clear" w:color="auto" w:fill="auto"/>
              <w:spacing w:line="240" w:lineRule="auto"/>
              <w:rPr>
                <w:sz w:val="20"/>
                <w:szCs w:val="20"/>
              </w:rPr>
            </w:pPr>
            <w:r w:rsidRPr="00EA16CE">
              <w:rPr>
                <w:sz w:val="20"/>
                <w:szCs w:val="20"/>
              </w:rPr>
              <w:t>Автомобильный транспорт:</w:t>
            </w:r>
          </w:p>
        </w:tc>
      </w:tr>
      <w:tr w:rsidR="00657A8B" w:rsidRPr="00657A8B" w:rsidTr="00657A8B">
        <w:tc>
          <w:tcPr>
            <w:tcW w:w="459" w:type="dxa"/>
          </w:tcPr>
          <w:p w:rsidR="00657A8B" w:rsidRPr="00EA16CE" w:rsidRDefault="00657A8B" w:rsidP="00657A8B">
            <w:pPr>
              <w:pStyle w:val="80"/>
              <w:shd w:val="clear" w:color="auto" w:fill="auto"/>
              <w:spacing w:line="240" w:lineRule="auto"/>
              <w:jc w:val="both"/>
              <w:rPr>
                <w:b w:val="0"/>
                <w:sz w:val="20"/>
                <w:szCs w:val="20"/>
              </w:rPr>
            </w:pPr>
            <w:r w:rsidRPr="00EA16CE">
              <w:rPr>
                <w:b w:val="0"/>
                <w:sz w:val="20"/>
                <w:szCs w:val="20"/>
              </w:rPr>
              <w:t>1.</w:t>
            </w:r>
          </w:p>
        </w:tc>
        <w:tc>
          <w:tcPr>
            <w:tcW w:w="5353" w:type="dxa"/>
          </w:tcPr>
          <w:p w:rsidR="00657A8B" w:rsidRPr="00EA16CE" w:rsidRDefault="00657A8B" w:rsidP="00657A8B">
            <w:pPr>
              <w:pStyle w:val="80"/>
              <w:shd w:val="clear" w:color="auto" w:fill="auto"/>
              <w:spacing w:line="240" w:lineRule="auto"/>
              <w:jc w:val="both"/>
              <w:rPr>
                <w:b w:val="0"/>
                <w:sz w:val="20"/>
                <w:szCs w:val="20"/>
              </w:rPr>
            </w:pPr>
            <w:r w:rsidRPr="00EA16CE">
              <w:rPr>
                <w:b w:val="0"/>
                <w:sz w:val="20"/>
                <w:szCs w:val="20"/>
              </w:rPr>
              <w:t>Перевозки пассажиров по заказу не подлежат лицензированию.</w:t>
            </w:r>
          </w:p>
        </w:tc>
        <w:tc>
          <w:tcPr>
            <w:tcW w:w="5245"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Внести изменение в Положение о лицензировании в части лицензирования перевозок по заказу.</w:t>
            </w:r>
          </w:p>
        </w:tc>
      </w:tr>
      <w:tr w:rsidR="00657A8B" w:rsidRPr="00657A8B" w:rsidTr="00657A8B">
        <w:tc>
          <w:tcPr>
            <w:tcW w:w="459" w:type="dxa"/>
          </w:tcPr>
          <w:p w:rsidR="00657A8B" w:rsidRPr="00EA16CE" w:rsidRDefault="00657A8B" w:rsidP="00657A8B">
            <w:pPr>
              <w:pStyle w:val="80"/>
              <w:shd w:val="clear" w:color="auto" w:fill="auto"/>
              <w:spacing w:line="240" w:lineRule="auto"/>
              <w:jc w:val="both"/>
              <w:rPr>
                <w:b w:val="0"/>
                <w:sz w:val="20"/>
                <w:szCs w:val="20"/>
              </w:rPr>
            </w:pPr>
            <w:r w:rsidRPr="00EA16CE">
              <w:rPr>
                <w:b w:val="0"/>
                <w:sz w:val="20"/>
                <w:szCs w:val="20"/>
              </w:rPr>
              <w:t>2.</w:t>
            </w:r>
          </w:p>
        </w:tc>
        <w:tc>
          <w:tcPr>
            <w:tcW w:w="5353"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Отсутствие утвержденной методики определения начальной максимальной цены государственного контракта на перевозки пассажиров и багажа автомобильным транспортом общего пользования на регулярных маршрутах по регулируемым тарифам и рекомендаций по проведению закупочных процедур.</w:t>
            </w:r>
          </w:p>
          <w:p w:rsidR="00657A8B" w:rsidRPr="00EA16CE" w:rsidRDefault="00657A8B" w:rsidP="00657A8B">
            <w:pPr>
              <w:pStyle w:val="2"/>
              <w:shd w:val="clear" w:color="auto" w:fill="auto"/>
              <w:spacing w:line="240" w:lineRule="auto"/>
              <w:jc w:val="both"/>
              <w:rPr>
                <w:sz w:val="20"/>
                <w:szCs w:val="20"/>
              </w:rPr>
            </w:pPr>
            <w:proofErr w:type="gramStart"/>
            <w:r w:rsidRPr="00EA16CE">
              <w:rPr>
                <w:sz w:val="20"/>
                <w:szCs w:val="20"/>
              </w:rPr>
              <w:t>В соответствии с частью 1 статьи 22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начальная (максимальная) цена контракта (далее - НМЦК) и в предусмотренных Федеральным законом № 44-ФЗ случаях цена контракта, заключаемого с единственным поставщиком (подрядчиком, исполнителем), определяются и обосновываются заказчиком посредством</w:t>
            </w:r>
            <w:proofErr w:type="gramEnd"/>
            <w:r w:rsidRPr="00EA16CE">
              <w:rPr>
                <w:sz w:val="20"/>
                <w:szCs w:val="20"/>
              </w:rPr>
              <w:t xml:space="preserve"> применения нескольких методов.</w:t>
            </w:r>
          </w:p>
        </w:tc>
        <w:tc>
          <w:tcPr>
            <w:tcW w:w="5245" w:type="dxa"/>
          </w:tcPr>
          <w:p w:rsidR="00657A8B" w:rsidRPr="00EA16CE" w:rsidRDefault="00657A8B" w:rsidP="00657A8B">
            <w:pPr>
              <w:pStyle w:val="2"/>
              <w:shd w:val="clear" w:color="auto" w:fill="auto"/>
              <w:spacing w:line="240" w:lineRule="auto"/>
              <w:jc w:val="both"/>
              <w:rPr>
                <w:sz w:val="20"/>
                <w:szCs w:val="20"/>
              </w:rPr>
            </w:pPr>
            <w:proofErr w:type="gramStart"/>
            <w:r w:rsidRPr="00EA16CE">
              <w:rPr>
                <w:sz w:val="20"/>
                <w:szCs w:val="20"/>
              </w:rPr>
              <w:t>Предусмотреть в проекте Порядка определения начальной (максимальной) цены контракта, заключаемого с единственным поставщиком (подрядчиком, исполнителем),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помимо затратного и другие методы определения НМКЦ: тарифный и запрос предложений.</w:t>
            </w:r>
            <w:proofErr w:type="gramEnd"/>
          </w:p>
          <w:p w:rsidR="00657A8B" w:rsidRPr="00EA16CE" w:rsidRDefault="00657A8B" w:rsidP="00657A8B">
            <w:pPr>
              <w:pStyle w:val="80"/>
              <w:shd w:val="clear" w:color="auto" w:fill="auto"/>
              <w:spacing w:line="240" w:lineRule="auto"/>
              <w:jc w:val="both"/>
              <w:rPr>
                <w:sz w:val="20"/>
                <w:szCs w:val="20"/>
              </w:rPr>
            </w:pPr>
          </w:p>
        </w:tc>
      </w:tr>
      <w:tr w:rsidR="00657A8B" w:rsidRPr="00657A8B" w:rsidTr="00657A8B">
        <w:tc>
          <w:tcPr>
            <w:tcW w:w="459" w:type="dxa"/>
          </w:tcPr>
          <w:p w:rsidR="00657A8B" w:rsidRPr="00EA16CE" w:rsidRDefault="00657A8B" w:rsidP="00657A8B">
            <w:pPr>
              <w:pStyle w:val="80"/>
              <w:shd w:val="clear" w:color="auto" w:fill="auto"/>
              <w:spacing w:line="240" w:lineRule="auto"/>
              <w:jc w:val="both"/>
              <w:rPr>
                <w:b w:val="0"/>
                <w:sz w:val="20"/>
                <w:szCs w:val="20"/>
              </w:rPr>
            </w:pPr>
            <w:r w:rsidRPr="00EA16CE">
              <w:rPr>
                <w:b w:val="0"/>
                <w:sz w:val="20"/>
                <w:szCs w:val="20"/>
              </w:rPr>
              <w:t>3.</w:t>
            </w:r>
          </w:p>
        </w:tc>
        <w:tc>
          <w:tcPr>
            <w:tcW w:w="5353" w:type="dxa"/>
          </w:tcPr>
          <w:p w:rsidR="00657A8B" w:rsidRPr="00EA16CE" w:rsidRDefault="00657A8B" w:rsidP="00657A8B">
            <w:pPr>
              <w:pStyle w:val="2"/>
              <w:shd w:val="clear" w:color="auto" w:fill="auto"/>
              <w:spacing w:line="240" w:lineRule="auto"/>
              <w:jc w:val="both"/>
              <w:rPr>
                <w:sz w:val="20"/>
                <w:szCs w:val="20"/>
              </w:rPr>
            </w:pPr>
            <w:proofErr w:type="gramStart"/>
            <w:r w:rsidRPr="00EA16CE">
              <w:rPr>
                <w:sz w:val="20"/>
                <w:szCs w:val="20"/>
              </w:rPr>
              <w:t>Согласно части 2 статьи 59 Федерального закона № 44-ФЗ и перечню товаров, работ, услуг, в случае осуществления закупок которых заказчик обязан проводить аукцион в электронной форме (электронный аукцион), утвержденному распоряжением Правительства Российской Федерации от 21 марта 2016 года № 471-р, закупка услуг сухопутного транспорта (код 49 по Общероссийскому классификатору продукции по видам экономической деятельности ОК 034-2014 (КПЕС 2008)) осуществляется заказчиком только путем</w:t>
            </w:r>
            <w:proofErr w:type="gramEnd"/>
            <w:r w:rsidRPr="00EA16CE">
              <w:rPr>
                <w:sz w:val="20"/>
                <w:szCs w:val="20"/>
              </w:rPr>
              <w:t xml:space="preserve"> проведения электронного аукциона.</w:t>
            </w:r>
          </w:p>
        </w:tc>
        <w:tc>
          <w:tcPr>
            <w:tcW w:w="5245"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 xml:space="preserve">Предусмотреть, что закупки на выполнение работ по перевозке </w:t>
            </w:r>
            <w:r w:rsidRPr="00EA16CE">
              <w:rPr>
                <w:rStyle w:val="12pt"/>
                <w:sz w:val="20"/>
                <w:szCs w:val="20"/>
              </w:rPr>
              <w:t xml:space="preserve">пассажиров </w:t>
            </w:r>
            <w:r w:rsidRPr="00EA16CE">
              <w:rPr>
                <w:sz w:val="20"/>
                <w:szCs w:val="20"/>
              </w:rPr>
              <w:t>и багажа автомобильным транспортом общего пользования на регулярных маршрутах по регулируемым тарифам осуществляются либо на основан</w:t>
            </w:r>
            <w:proofErr w:type="gramStart"/>
            <w:r w:rsidRPr="00EA16CE">
              <w:rPr>
                <w:sz w:val="20"/>
                <w:szCs w:val="20"/>
              </w:rPr>
              <w:t>ии ау</w:t>
            </w:r>
            <w:proofErr w:type="gramEnd"/>
            <w:r w:rsidRPr="00EA16CE">
              <w:rPr>
                <w:sz w:val="20"/>
                <w:szCs w:val="20"/>
              </w:rPr>
              <w:t>кциона, либо конкурса.</w:t>
            </w:r>
          </w:p>
          <w:p w:rsidR="00657A8B" w:rsidRPr="00EA16CE" w:rsidRDefault="00657A8B" w:rsidP="00657A8B">
            <w:pPr>
              <w:pStyle w:val="80"/>
              <w:shd w:val="clear" w:color="auto" w:fill="auto"/>
              <w:spacing w:line="240" w:lineRule="auto"/>
              <w:jc w:val="both"/>
              <w:rPr>
                <w:sz w:val="20"/>
                <w:szCs w:val="20"/>
              </w:rPr>
            </w:pPr>
          </w:p>
        </w:tc>
      </w:tr>
      <w:tr w:rsidR="00657A8B" w:rsidRPr="00657A8B" w:rsidTr="00657A8B">
        <w:tc>
          <w:tcPr>
            <w:tcW w:w="459" w:type="dxa"/>
          </w:tcPr>
          <w:p w:rsidR="00657A8B" w:rsidRPr="00EA16CE" w:rsidRDefault="00657A8B" w:rsidP="00657A8B">
            <w:pPr>
              <w:pStyle w:val="80"/>
              <w:shd w:val="clear" w:color="auto" w:fill="auto"/>
              <w:spacing w:line="240" w:lineRule="auto"/>
              <w:jc w:val="both"/>
              <w:rPr>
                <w:b w:val="0"/>
                <w:sz w:val="20"/>
                <w:szCs w:val="20"/>
              </w:rPr>
            </w:pPr>
            <w:r w:rsidRPr="00EA16CE">
              <w:rPr>
                <w:b w:val="0"/>
                <w:sz w:val="20"/>
                <w:szCs w:val="20"/>
              </w:rPr>
              <w:t>4.</w:t>
            </w:r>
          </w:p>
        </w:tc>
        <w:tc>
          <w:tcPr>
            <w:tcW w:w="5353" w:type="dxa"/>
          </w:tcPr>
          <w:p w:rsidR="00657A8B" w:rsidRPr="00EA16CE" w:rsidRDefault="00657A8B" w:rsidP="00657A8B">
            <w:pPr>
              <w:pStyle w:val="2"/>
              <w:shd w:val="clear" w:color="auto" w:fill="auto"/>
              <w:spacing w:line="240" w:lineRule="auto"/>
              <w:jc w:val="both"/>
              <w:rPr>
                <w:sz w:val="20"/>
                <w:szCs w:val="20"/>
              </w:rPr>
            </w:pPr>
            <w:proofErr w:type="gramStart"/>
            <w:r w:rsidRPr="00EA16CE">
              <w:rPr>
                <w:sz w:val="20"/>
                <w:szCs w:val="20"/>
              </w:rPr>
              <w:t>В соответствии с частью 1 статьи 35 Федерального закона № 220-ФЗ государственный контроль (надзор) в области автомобильного транспорта и городского наземного электрического транспорта при организации регулярных перевозок осуществляется органом государственного транспортного контроля - Федеральной службой по надзору в сфере транспорта, при этом регулярные перевозки по муниципальным и межмуниципальным маршрутам организуются уполномоченным исполнительным органом государственной власти субъекта или уполномоченным органом местного самоуправления.</w:t>
            </w:r>
            <w:proofErr w:type="gramEnd"/>
          </w:p>
          <w:p w:rsidR="00657A8B" w:rsidRPr="00EA16CE" w:rsidRDefault="00657A8B" w:rsidP="00657A8B">
            <w:pPr>
              <w:pStyle w:val="2"/>
              <w:shd w:val="clear" w:color="auto" w:fill="auto"/>
              <w:tabs>
                <w:tab w:val="right" w:pos="9721"/>
              </w:tabs>
              <w:spacing w:line="240" w:lineRule="auto"/>
              <w:jc w:val="both"/>
              <w:rPr>
                <w:sz w:val="20"/>
                <w:szCs w:val="20"/>
              </w:rPr>
            </w:pPr>
            <w:r w:rsidRPr="00EA16CE">
              <w:rPr>
                <w:sz w:val="20"/>
                <w:szCs w:val="20"/>
              </w:rPr>
              <w:t xml:space="preserve">Согласно части 5 статьи 35 указанного  Федерального закона </w:t>
            </w:r>
            <w:proofErr w:type="spellStart"/>
            <w:r w:rsidRPr="00EA16CE">
              <w:rPr>
                <w:sz w:val="20"/>
                <w:szCs w:val="20"/>
              </w:rPr>
              <w:t>Ространснадзор</w:t>
            </w:r>
            <w:proofErr w:type="spellEnd"/>
            <w:r w:rsidRPr="00EA16CE">
              <w:rPr>
                <w:sz w:val="20"/>
                <w:szCs w:val="20"/>
              </w:rPr>
              <w:t xml:space="preserve"> по соглашению с органами исполнительной власти субъектов Российской Федерации может передавать им осуществление указанных полномочий в порядке, установленном законодательством Российской Федерации</w:t>
            </w:r>
            <w:proofErr w:type="gramStart"/>
            <w:r w:rsidRPr="00EA16CE">
              <w:rPr>
                <w:sz w:val="20"/>
                <w:szCs w:val="20"/>
              </w:rPr>
              <w:t>.</w:t>
            </w:r>
            <w:proofErr w:type="gramEnd"/>
            <w:r w:rsidRPr="00EA16CE">
              <w:rPr>
                <w:sz w:val="20"/>
                <w:szCs w:val="20"/>
              </w:rPr>
              <w:tab/>
              <w:t>„„„„</w:t>
            </w:r>
            <w:proofErr w:type="gramStart"/>
            <w:r w:rsidRPr="00EA16CE">
              <w:rPr>
                <w:sz w:val="20"/>
                <w:szCs w:val="20"/>
              </w:rPr>
              <w:t>л</w:t>
            </w:r>
            <w:proofErr w:type="gramEnd"/>
          </w:p>
          <w:p w:rsidR="00657A8B" w:rsidRPr="00EA16CE" w:rsidRDefault="00657A8B" w:rsidP="00657A8B">
            <w:pPr>
              <w:pStyle w:val="2"/>
              <w:shd w:val="clear" w:color="auto" w:fill="auto"/>
              <w:spacing w:line="240" w:lineRule="auto"/>
              <w:ind w:firstLine="680"/>
              <w:jc w:val="both"/>
              <w:rPr>
                <w:sz w:val="20"/>
                <w:szCs w:val="20"/>
              </w:rPr>
            </w:pPr>
            <w:r w:rsidRPr="00EA16CE">
              <w:rPr>
                <w:sz w:val="20"/>
                <w:szCs w:val="20"/>
              </w:rPr>
              <w:t xml:space="preserve">Между тем </w:t>
            </w:r>
            <w:proofErr w:type="spellStart"/>
            <w:r w:rsidRPr="00EA16CE">
              <w:rPr>
                <w:sz w:val="20"/>
                <w:szCs w:val="20"/>
              </w:rPr>
              <w:t>Ространснадзор</w:t>
            </w:r>
            <w:proofErr w:type="spellEnd"/>
            <w:r w:rsidRPr="00EA16CE">
              <w:rPr>
                <w:sz w:val="20"/>
                <w:szCs w:val="20"/>
              </w:rPr>
              <w:t xml:space="preserve"> указал, что передача министерству указанных полномочий, а также права составления и рассмотрения протоколов об административных правонарушениях по статье 11.33 Кодекса Российской Федерации об административных правонарушениях является избыточной.</w:t>
            </w:r>
          </w:p>
          <w:p w:rsidR="00657A8B" w:rsidRPr="00EA16CE" w:rsidRDefault="00657A8B" w:rsidP="00657A8B">
            <w:pPr>
              <w:pStyle w:val="2"/>
              <w:shd w:val="clear" w:color="auto" w:fill="auto"/>
              <w:spacing w:line="240" w:lineRule="auto"/>
              <w:ind w:firstLine="680"/>
              <w:jc w:val="both"/>
              <w:rPr>
                <w:sz w:val="20"/>
                <w:szCs w:val="20"/>
              </w:rPr>
            </w:pPr>
            <w:r w:rsidRPr="00EA16CE">
              <w:rPr>
                <w:sz w:val="20"/>
                <w:szCs w:val="20"/>
              </w:rPr>
              <w:t xml:space="preserve">В то же время управление государственного автодорожного надзора по Архангельской области и Ненецкому автономному округу имеет 20 штатных должностей инспекторов, из которых только 7 осуществляют государственному </w:t>
            </w:r>
            <w:proofErr w:type="gramStart"/>
            <w:r w:rsidRPr="00EA16CE">
              <w:rPr>
                <w:sz w:val="20"/>
                <w:szCs w:val="20"/>
              </w:rPr>
              <w:t>контролю за</w:t>
            </w:r>
            <w:proofErr w:type="gramEnd"/>
            <w:r w:rsidRPr="00EA16CE">
              <w:rPr>
                <w:sz w:val="20"/>
                <w:szCs w:val="20"/>
              </w:rPr>
              <w:t xml:space="preserve"> осуществлением регулярных перевозок в Архангельской области и Ненецком автономном округе, что не позволяет эффективно бороться с нелегальными перевозчиками.</w:t>
            </w:r>
          </w:p>
        </w:tc>
        <w:tc>
          <w:tcPr>
            <w:tcW w:w="5245"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 xml:space="preserve">Внести изменение в статью 35 Федерального закон № 220-ФЗ в части наделения полномочиями по </w:t>
            </w:r>
            <w:proofErr w:type="gramStart"/>
            <w:r w:rsidRPr="00EA16CE">
              <w:rPr>
                <w:sz w:val="20"/>
                <w:szCs w:val="20"/>
              </w:rPr>
              <w:t>контролю за</w:t>
            </w:r>
            <w:proofErr w:type="gramEnd"/>
            <w:r w:rsidRPr="00EA16CE">
              <w:rPr>
                <w:sz w:val="20"/>
                <w:szCs w:val="20"/>
              </w:rPr>
              <w:t xml:space="preserve"> осуществлением регулярных перевозок наряду с </w:t>
            </w:r>
            <w:proofErr w:type="spellStart"/>
            <w:r w:rsidRPr="00EA16CE">
              <w:rPr>
                <w:sz w:val="20"/>
                <w:szCs w:val="20"/>
              </w:rPr>
              <w:t>Ространснадзором</w:t>
            </w:r>
            <w:proofErr w:type="spellEnd"/>
            <w:r w:rsidRPr="00EA16CE">
              <w:rPr>
                <w:sz w:val="20"/>
                <w:szCs w:val="20"/>
              </w:rPr>
              <w:t xml:space="preserve"> уполномоченных исполнительных органов государственной власти субъекта РФ и уполномоченных органов местного самоуправления, организующих перевозки по межмуниципальным и муниципальным маршрутам.</w:t>
            </w:r>
          </w:p>
          <w:p w:rsidR="00657A8B" w:rsidRPr="00EA16CE" w:rsidRDefault="00657A8B" w:rsidP="00657A8B">
            <w:pPr>
              <w:pStyle w:val="80"/>
              <w:shd w:val="clear" w:color="auto" w:fill="auto"/>
              <w:spacing w:line="240" w:lineRule="auto"/>
              <w:jc w:val="both"/>
              <w:rPr>
                <w:sz w:val="20"/>
                <w:szCs w:val="20"/>
              </w:rPr>
            </w:pPr>
          </w:p>
        </w:tc>
      </w:tr>
      <w:tr w:rsidR="00657A8B" w:rsidRPr="00657A8B" w:rsidTr="00657A8B">
        <w:tc>
          <w:tcPr>
            <w:tcW w:w="459" w:type="dxa"/>
          </w:tcPr>
          <w:p w:rsidR="00657A8B" w:rsidRPr="00EA16CE" w:rsidRDefault="00657A8B" w:rsidP="00657A8B">
            <w:pPr>
              <w:pStyle w:val="80"/>
              <w:shd w:val="clear" w:color="auto" w:fill="auto"/>
              <w:spacing w:line="240" w:lineRule="auto"/>
              <w:jc w:val="both"/>
              <w:rPr>
                <w:b w:val="0"/>
                <w:sz w:val="20"/>
                <w:szCs w:val="20"/>
              </w:rPr>
            </w:pPr>
            <w:r w:rsidRPr="00EA16CE">
              <w:rPr>
                <w:b w:val="0"/>
                <w:sz w:val="20"/>
                <w:szCs w:val="20"/>
              </w:rPr>
              <w:lastRenderedPageBreak/>
              <w:t>5.</w:t>
            </w:r>
          </w:p>
        </w:tc>
        <w:tc>
          <w:tcPr>
            <w:tcW w:w="5353"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Наличие лицензионного требования к соискателю лицензии (лицензиату) на осуществление перевозок пассажиров автомобильным транспортом в части оснащения транспортных средств аппаратурой спутниковой навигации ГЛОНАСС или ГЛОНАСС /</w:t>
            </w:r>
            <w:r w:rsidRPr="00EA16CE">
              <w:rPr>
                <w:sz w:val="20"/>
                <w:szCs w:val="20"/>
                <w:lang w:val="en-US"/>
              </w:rPr>
              <w:t>GPS</w:t>
            </w:r>
            <w:r w:rsidRPr="00EA16CE">
              <w:rPr>
                <w:sz w:val="20"/>
                <w:szCs w:val="20"/>
              </w:rPr>
              <w:t xml:space="preserve"> недостаточно для обеспечения качества и безопасности перевозок.</w:t>
            </w:r>
          </w:p>
          <w:p w:rsidR="00657A8B" w:rsidRPr="00EA16CE" w:rsidRDefault="00657A8B" w:rsidP="00657A8B">
            <w:pPr>
              <w:pStyle w:val="80"/>
              <w:shd w:val="clear" w:color="auto" w:fill="auto"/>
              <w:spacing w:line="240" w:lineRule="auto"/>
              <w:jc w:val="both"/>
              <w:rPr>
                <w:sz w:val="20"/>
                <w:szCs w:val="20"/>
              </w:rPr>
            </w:pPr>
          </w:p>
        </w:tc>
        <w:tc>
          <w:tcPr>
            <w:tcW w:w="5245" w:type="dxa"/>
          </w:tcPr>
          <w:p w:rsidR="00657A8B" w:rsidRPr="00EA16CE" w:rsidRDefault="00657A8B" w:rsidP="00657A8B">
            <w:pPr>
              <w:pStyle w:val="2"/>
              <w:shd w:val="clear" w:color="auto" w:fill="auto"/>
              <w:tabs>
                <w:tab w:val="left" w:pos="1093"/>
              </w:tabs>
              <w:spacing w:line="240" w:lineRule="auto"/>
              <w:jc w:val="both"/>
              <w:rPr>
                <w:sz w:val="20"/>
                <w:szCs w:val="20"/>
              </w:rPr>
            </w:pPr>
            <w:r w:rsidRPr="00EA16CE">
              <w:rPr>
                <w:sz w:val="20"/>
                <w:szCs w:val="20"/>
              </w:rPr>
              <w:t>Необходимо дополнить пункт 4 Положения о лицензировании подпунктом «л» следующего содержания:</w:t>
            </w:r>
            <w:r w:rsidRPr="00EA16CE">
              <w:rPr>
                <w:sz w:val="20"/>
                <w:szCs w:val="20"/>
              </w:rPr>
              <w:tab/>
            </w:r>
          </w:p>
          <w:p w:rsidR="00657A8B" w:rsidRPr="00EA16CE" w:rsidRDefault="00657A8B" w:rsidP="00657A8B">
            <w:pPr>
              <w:pStyle w:val="2"/>
              <w:shd w:val="clear" w:color="auto" w:fill="auto"/>
              <w:tabs>
                <w:tab w:val="left" w:pos="459"/>
              </w:tabs>
              <w:spacing w:line="240" w:lineRule="auto"/>
              <w:jc w:val="both"/>
              <w:rPr>
                <w:sz w:val="20"/>
                <w:szCs w:val="20"/>
              </w:rPr>
            </w:pPr>
            <w:r w:rsidRPr="00EA16CE">
              <w:rPr>
                <w:sz w:val="20"/>
                <w:szCs w:val="20"/>
              </w:rPr>
              <w:t>«л)</w:t>
            </w:r>
            <w:r w:rsidRPr="00EA16CE">
              <w:rPr>
                <w:sz w:val="20"/>
                <w:szCs w:val="20"/>
              </w:rPr>
              <w:tab/>
              <w:t>подключение аппаратуры спутниковой навигации ГЛОНАСС или ГЛОНАСС/</w:t>
            </w:r>
            <w:r w:rsidRPr="00EA16CE">
              <w:rPr>
                <w:sz w:val="20"/>
                <w:szCs w:val="20"/>
                <w:lang w:val="en-US"/>
              </w:rPr>
              <w:t>GPS</w:t>
            </w:r>
            <w:r w:rsidRPr="00EA16CE">
              <w:rPr>
                <w:sz w:val="20"/>
                <w:szCs w:val="20"/>
              </w:rPr>
              <w:t xml:space="preserve"> к региональным навигационно-информационным системам (РНИС)</w:t>
            </w:r>
            <w:proofErr w:type="gramStart"/>
            <w:r w:rsidRPr="00EA16CE">
              <w:rPr>
                <w:sz w:val="20"/>
                <w:szCs w:val="20"/>
              </w:rPr>
              <w:t>.»</w:t>
            </w:r>
            <w:proofErr w:type="gramEnd"/>
          </w:p>
          <w:p w:rsidR="00657A8B" w:rsidRPr="00EA16CE" w:rsidRDefault="00657A8B" w:rsidP="00657A8B">
            <w:pPr>
              <w:pStyle w:val="2"/>
              <w:shd w:val="clear" w:color="auto" w:fill="auto"/>
              <w:tabs>
                <w:tab w:val="left" w:pos="1353"/>
              </w:tabs>
              <w:spacing w:line="240" w:lineRule="auto"/>
              <w:jc w:val="both"/>
              <w:rPr>
                <w:sz w:val="20"/>
                <w:szCs w:val="20"/>
              </w:rPr>
            </w:pPr>
            <w:r w:rsidRPr="00EA16CE">
              <w:rPr>
                <w:sz w:val="20"/>
                <w:szCs w:val="20"/>
              </w:rPr>
              <w:t>Дополнить статью 11.14.2 Кодекса Российской Федерации об административных правонарушениях частью 5: «Регулярные перевозки пассажиров и багажа и перевозки пассажиров и багажа по заказу без подключенной к региональной навигационно-информационной системе (РНИС) аппаратуры спутниковой навигации ГЛОНАСС или ГЛОНАСС/</w:t>
            </w:r>
            <w:r w:rsidRPr="00EA16CE">
              <w:rPr>
                <w:sz w:val="20"/>
                <w:szCs w:val="20"/>
                <w:lang w:val="en-US"/>
              </w:rPr>
              <w:t>GPS</w:t>
            </w:r>
            <w:r w:rsidRPr="00EA16CE">
              <w:rPr>
                <w:sz w:val="20"/>
                <w:szCs w:val="20"/>
              </w:rPr>
              <w:t>».</w:t>
            </w:r>
          </w:p>
        </w:tc>
      </w:tr>
      <w:tr w:rsidR="00657A8B" w:rsidRPr="00657A8B" w:rsidTr="00657A8B">
        <w:tc>
          <w:tcPr>
            <w:tcW w:w="459" w:type="dxa"/>
          </w:tcPr>
          <w:p w:rsidR="00657A8B" w:rsidRPr="00EA16CE" w:rsidRDefault="00657A8B" w:rsidP="00657A8B">
            <w:pPr>
              <w:pStyle w:val="80"/>
              <w:shd w:val="clear" w:color="auto" w:fill="auto"/>
              <w:spacing w:line="240" w:lineRule="auto"/>
              <w:jc w:val="both"/>
              <w:rPr>
                <w:b w:val="0"/>
                <w:sz w:val="20"/>
                <w:szCs w:val="20"/>
              </w:rPr>
            </w:pPr>
            <w:r w:rsidRPr="00EA16CE">
              <w:rPr>
                <w:b w:val="0"/>
                <w:sz w:val="20"/>
                <w:szCs w:val="20"/>
              </w:rPr>
              <w:t>6.</w:t>
            </w:r>
          </w:p>
        </w:tc>
        <w:tc>
          <w:tcPr>
            <w:tcW w:w="5353"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Отсутствие региональных навигационно-информационных систем (РНИС) не позволяет выявлять регулярные перевозки, осуществляемые под видом «заказных» и собирать достаточные доказательства для аннулирования лицензии в судебном порядке.</w:t>
            </w:r>
          </w:p>
          <w:p w:rsidR="00657A8B" w:rsidRPr="00EA16CE" w:rsidRDefault="00657A8B" w:rsidP="00657A8B">
            <w:pPr>
              <w:pStyle w:val="80"/>
              <w:shd w:val="clear" w:color="auto" w:fill="auto"/>
              <w:spacing w:line="240" w:lineRule="auto"/>
              <w:jc w:val="both"/>
              <w:rPr>
                <w:sz w:val="20"/>
                <w:szCs w:val="20"/>
              </w:rPr>
            </w:pPr>
          </w:p>
        </w:tc>
        <w:tc>
          <w:tcPr>
            <w:tcW w:w="5245"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 xml:space="preserve">Создать на уровне субъектов Российской Федерации региональные навигационно-информационные системы (РНИС), с помощью которых будет осуществляться </w:t>
            </w:r>
            <w:proofErr w:type="gramStart"/>
            <w:r w:rsidRPr="00EA16CE">
              <w:rPr>
                <w:sz w:val="20"/>
                <w:szCs w:val="20"/>
              </w:rPr>
              <w:t>контроль за</w:t>
            </w:r>
            <w:proofErr w:type="gramEnd"/>
            <w:r w:rsidRPr="00EA16CE">
              <w:rPr>
                <w:sz w:val="20"/>
                <w:szCs w:val="20"/>
              </w:rPr>
              <w:t xml:space="preserve"> транспортными средствами, используемыми для регулярных перевозок и перевозок по заказу, оборудованными аппаратурой спутниковой навигации ГЛОНАСС или ГЛОНАСС/</w:t>
            </w:r>
            <w:r w:rsidRPr="00EA16CE">
              <w:rPr>
                <w:sz w:val="20"/>
                <w:szCs w:val="20"/>
                <w:lang w:val="en-US"/>
              </w:rPr>
              <w:t>GPS</w:t>
            </w:r>
            <w:r w:rsidRPr="00EA16CE">
              <w:rPr>
                <w:sz w:val="20"/>
                <w:szCs w:val="20"/>
              </w:rPr>
              <w:t>.</w:t>
            </w:r>
          </w:p>
        </w:tc>
      </w:tr>
      <w:tr w:rsidR="00657A8B" w:rsidRPr="00657A8B" w:rsidTr="00657A8B">
        <w:tc>
          <w:tcPr>
            <w:tcW w:w="459" w:type="dxa"/>
          </w:tcPr>
          <w:p w:rsidR="00657A8B" w:rsidRPr="00EA16CE" w:rsidRDefault="00657A8B" w:rsidP="00657A8B">
            <w:pPr>
              <w:pStyle w:val="80"/>
              <w:shd w:val="clear" w:color="auto" w:fill="auto"/>
              <w:spacing w:line="240" w:lineRule="auto"/>
              <w:jc w:val="both"/>
              <w:rPr>
                <w:b w:val="0"/>
                <w:sz w:val="20"/>
                <w:szCs w:val="20"/>
              </w:rPr>
            </w:pPr>
            <w:r w:rsidRPr="00EA16CE">
              <w:rPr>
                <w:b w:val="0"/>
                <w:sz w:val="20"/>
                <w:szCs w:val="20"/>
              </w:rPr>
              <w:t>7.</w:t>
            </w:r>
          </w:p>
        </w:tc>
        <w:tc>
          <w:tcPr>
            <w:tcW w:w="5353"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На территории Архангельской области тарифы на перевозки пассажиров и багажа автомобильным транспортом в городском, пригородном и междугородном сообщении установлены уполномоченным исполнительным органом государственной власти Архангельской области на экономически обоснованном уровне. Сбор выручки от перевозки пассажиров и багажа осуществляется самим перевозчиком.</w:t>
            </w:r>
            <w:r w:rsidRPr="00EA16CE">
              <w:rPr>
                <w:sz w:val="20"/>
                <w:szCs w:val="20"/>
              </w:rPr>
              <w:tab/>
            </w:r>
          </w:p>
          <w:p w:rsidR="00657A8B" w:rsidRPr="00EA16CE" w:rsidRDefault="00657A8B" w:rsidP="00657A8B">
            <w:pPr>
              <w:pStyle w:val="2"/>
              <w:shd w:val="clear" w:color="auto" w:fill="auto"/>
              <w:spacing w:line="240" w:lineRule="auto"/>
              <w:jc w:val="both"/>
              <w:rPr>
                <w:sz w:val="20"/>
                <w:szCs w:val="20"/>
              </w:rPr>
            </w:pPr>
            <w:r w:rsidRPr="00EA16CE">
              <w:rPr>
                <w:sz w:val="20"/>
                <w:szCs w:val="20"/>
              </w:rPr>
              <w:t>В сложившихся экономических условиях на территории Архангельской области предусмотреть дополнительные ассигнования для обоснования НМЦК на основе затратного метода не представляется возможным.</w:t>
            </w:r>
          </w:p>
          <w:p w:rsidR="00657A8B" w:rsidRPr="00EA16CE" w:rsidRDefault="00657A8B" w:rsidP="00657A8B">
            <w:pPr>
              <w:pStyle w:val="2"/>
              <w:shd w:val="clear" w:color="auto" w:fill="auto"/>
              <w:spacing w:line="240" w:lineRule="auto"/>
              <w:ind w:firstLine="680"/>
              <w:jc w:val="both"/>
              <w:rPr>
                <w:sz w:val="20"/>
                <w:szCs w:val="20"/>
              </w:rPr>
            </w:pPr>
            <w:r w:rsidRPr="00EA16CE">
              <w:rPr>
                <w:sz w:val="20"/>
                <w:szCs w:val="20"/>
              </w:rPr>
              <w:t>При экономически обоснованном тарифе на перевозку пассажиров отсутствует необходимость в заключени</w:t>
            </w:r>
            <w:proofErr w:type="gramStart"/>
            <w:r w:rsidRPr="00EA16CE">
              <w:rPr>
                <w:sz w:val="20"/>
                <w:szCs w:val="20"/>
              </w:rPr>
              <w:t>и</w:t>
            </w:r>
            <w:proofErr w:type="gramEnd"/>
            <w:r w:rsidRPr="00EA16CE">
              <w:rPr>
                <w:sz w:val="20"/>
                <w:szCs w:val="20"/>
              </w:rPr>
              <w:t xml:space="preserve"> государственного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57A8B" w:rsidRPr="00EA16CE" w:rsidRDefault="00657A8B" w:rsidP="00657A8B">
            <w:pPr>
              <w:pStyle w:val="80"/>
              <w:shd w:val="clear" w:color="auto" w:fill="auto"/>
              <w:spacing w:line="240" w:lineRule="auto"/>
              <w:jc w:val="both"/>
              <w:rPr>
                <w:sz w:val="20"/>
                <w:szCs w:val="20"/>
              </w:rPr>
            </w:pPr>
          </w:p>
        </w:tc>
        <w:tc>
          <w:tcPr>
            <w:tcW w:w="5245"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Предусмотреть возможность проведения конкурсных процедур (по аналогии с регулярными перевозками по нерегулируемым тарифам) при определении перевозчика, осуществляющего перевозки по экономически обоснованному тарифу.</w:t>
            </w:r>
          </w:p>
          <w:p w:rsidR="00657A8B" w:rsidRPr="00EA16CE" w:rsidRDefault="00657A8B" w:rsidP="00657A8B">
            <w:pPr>
              <w:pStyle w:val="2"/>
              <w:shd w:val="clear" w:color="auto" w:fill="auto"/>
              <w:spacing w:line="240" w:lineRule="auto"/>
              <w:jc w:val="both"/>
              <w:rPr>
                <w:sz w:val="20"/>
                <w:szCs w:val="20"/>
              </w:rPr>
            </w:pPr>
            <w:r w:rsidRPr="00EA16CE">
              <w:rPr>
                <w:sz w:val="20"/>
                <w:szCs w:val="20"/>
              </w:rPr>
              <w:t xml:space="preserve">Для этого необходимо внести изменения в часть 2 статьи 14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«2. </w:t>
            </w:r>
            <w:proofErr w:type="gramStart"/>
            <w:r w:rsidRPr="00EA16CE">
              <w:rPr>
                <w:sz w:val="20"/>
                <w:szCs w:val="20"/>
              </w:rPr>
              <w:t>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 либо проведения</w:t>
            </w:r>
            <w:proofErr w:type="gramEnd"/>
            <w:r w:rsidRPr="00EA16CE">
              <w:rPr>
                <w:sz w:val="20"/>
                <w:szCs w:val="20"/>
              </w:rPr>
              <w:t xml:space="preserve"> открытого конкурса на право осуществления перевозок по маршруту регулярных перевозок в порядке, предусмотренном статьей 19 настоящего Федерального закона».</w:t>
            </w:r>
          </w:p>
        </w:tc>
      </w:tr>
      <w:tr w:rsidR="00657A8B" w:rsidRPr="00657A8B" w:rsidTr="00657A8B">
        <w:tc>
          <w:tcPr>
            <w:tcW w:w="459" w:type="dxa"/>
          </w:tcPr>
          <w:p w:rsidR="00657A8B" w:rsidRPr="00EA16CE" w:rsidRDefault="00657A8B" w:rsidP="00657A8B">
            <w:pPr>
              <w:pStyle w:val="80"/>
              <w:shd w:val="clear" w:color="auto" w:fill="auto"/>
              <w:spacing w:line="240" w:lineRule="auto"/>
              <w:jc w:val="both"/>
              <w:rPr>
                <w:b w:val="0"/>
                <w:sz w:val="20"/>
                <w:szCs w:val="20"/>
              </w:rPr>
            </w:pPr>
            <w:r w:rsidRPr="00EA16CE">
              <w:rPr>
                <w:b w:val="0"/>
                <w:sz w:val="20"/>
                <w:szCs w:val="20"/>
              </w:rPr>
              <w:t>8.</w:t>
            </w:r>
          </w:p>
        </w:tc>
        <w:tc>
          <w:tcPr>
            <w:tcW w:w="5353"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Наличие лицензионного требования при осуществлении деятельности по перевозке пассажиров в части наличия у соискателя лицензии (лицензиата) помещений и оборудования для технического обслуживания и ремонта транспортных средств недостаточно для обеспечения качества и безопасности</w:t>
            </w:r>
          </w:p>
          <w:p w:rsidR="00657A8B" w:rsidRPr="00EA16CE" w:rsidRDefault="00657A8B" w:rsidP="00657A8B">
            <w:pPr>
              <w:pStyle w:val="2"/>
              <w:shd w:val="clear" w:color="auto" w:fill="auto"/>
              <w:spacing w:line="240" w:lineRule="auto"/>
              <w:jc w:val="both"/>
              <w:rPr>
                <w:sz w:val="20"/>
                <w:szCs w:val="20"/>
              </w:rPr>
            </w:pPr>
            <w:r w:rsidRPr="00EA16CE">
              <w:rPr>
                <w:sz w:val="20"/>
                <w:szCs w:val="20"/>
              </w:rPr>
              <w:t>перевозок.</w:t>
            </w:r>
          </w:p>
          <w:p w:rsidR="00657A8B" w:rsidRPr="00EA16CE" w:rsidRDefault="00657A8B" w:rsidP="00657A8B">
            <w:pPr>
              <w:pStyle w:val="80"/>
              <w:shd w:val="clear" w:color="auto" w:fill="auto"/>
              <w:spacing w:line="240" w:lineRule="auto"/>
              <w:jc w:val="both"/>
              <w:rPr>
                <w:sz w:val="20"/>
                <w:szCs w:val="20"/>
              </w:rPr>
            </w:pPr>
          </w:p>
        </w:tc>
        <w:tc>
          <w:tcPr>
            <w:tcW w:w="5245" w:type="dxa"/>
          </w:tcPr>
          <w:p w:rsidR="00657A8B" w:rsidRPr="00EA16CE" w:rsidRDefault="00657A8B" w:rsidP="00657A8B">
            <w:pPr>
              <w:pStyle w:val="2"/>
              <w:shd w:val="clear" w:color="auto" w:fill="auto"/>
              <w:spacing w:line="240" w:lineRule="auto"/>
              <w:jc w:val="both"/>
              <w:rPr>
                <w:sz w:val="20"/>
                <w:szCs w:val="20"/>
              </w:rPr>
            </w:pPr>
            <w:proofErr w:type="gramStart"/>
            <w:r w:rsidRPr="00EA16CE">
              <w:rPr>
                <w:sz w:val="20"/>
                <w:szCs w:val="20"/>
              </w:rPr>
              <w:t>Необходимо в подпункте «а» пункта 4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(далее Положение о лицензировании), утвержденного Постановлением Правительства Российской Федерации от 02 апреля 2012 года № 280, предусмотреть наличие у соискателя лицензии (лицензиата) сертификационных центров.</w:t>
            </w:r>
            <w:proofErr w:type="gramEnd"/>
          </w:p>
          <w:p w:rsidR="00657A8B" w:rsidRPr="00EA16CE" w:rsidRDefault="00657A8B" w:rsidP="00657A8B">
            <w:pPr>
              <w:pStyle w:val="80"/>
              <w:shd w:val="clear" w:color="auto" w:fill="auto"/>
              <w:spacing w:line="240" w:lineRule="auto"/>
              <w:jc w:val="both"/>
              <w:rPr>
                <w:sz w:val="20"/>
                <w:szCs w:val="20"/>
              </w:rPr>
            </w:pPr>
          </w:p>
        </w:tc>
      </w:tr>
      <w:tr w:rsidR="00657A8B" w:rsidRPr="00657A8B" w:rsidTr="00657A8B">
        <w:tc>
          <w:tcPr>
            <w:tcW w:w="459" w:type="dxa"/>
          </w:tcPr>
          <w:p w:rsidR="00657A8B" w:rsidRPr="00EA16CE" w:rsidRDefault="00657A8B" w:rsidP="00657A8B">
            <w:pPr>
              <w:pStyle w:val="80"/>
              <w:shd w:val="clear" w:color="auto" w:fill="auto"/>
              <w:spacing w:line="240" w:lineRule="auto"/>
              <w:jc w:val="both"/>
              <w:rPr>
                <w:b w:val="0"/>
                <w:sz w:val="20"/>
                <w:szCs w:val="20"/>
              </w:rPr>
            </w:pPr>
            <w:r w:rsidRPr="00EA16CE">
              <w:rPr>
                <w:b w:val="0"/>
                <w:sz w:val="20"/>
                <w:szCs w:val="20"/>
              </w:rPr>
              <w:t>9.</w:t>
            </w:r>
          </w:p>
        </w:tc>
        <w:tc>
          <w:tcPr>
            <w:tcW w:w="5353"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Ряд пассажирских перевозок осуществляется водителями на основании заключенного договора об оказании услуг, что негативным образом отражается на безопасности перевозок.</w:t>
            </w:r>
          </w:p>
          <w:p w:rsidR="00657A8B" w:rsidRPr="00EA16CE" w:rsidRDefault="00657A8B" w:rsidP="00657A8B">
            <w:pPr>
              <w:pStyle w:val="2"/>
              <w:shd w:val="clear" w:color="auto" w:fill="auto"/>
              <w:spacing w:line="240" w:lineRule="auto"/>
              <w:jc w:val="both"/>
              <w:rPr>
                <w:sz w:val="20"/>
                <w:szCs w:val="20"/>
              </w:rPr>
            </w:pPr>
            <w:r w:rsidRPr="00EA16CE">
              <w:rPr>
                <w:sz w:val="20"/>
                <w:szCs w:val="20"/>
              </w:rPr>
              <w:t xml:space="preserve">Согласно Гражданскому кодексу Российской Федерации </w:t>
            </w:r>
            <w:r w:rsidRPr="00EA16CE">
              <w:rPr>
                <w:sz w:val="20"/>
                <w:szCs w:val="20"/>
              </w:rPr>
              <w:lastRenderedPageBreak/>
              <w:t xml:space="preserve">транспортное средство является источником повышенной опасности. Перевозка пассажиров и багажа несет в себе еще большую угрозу причинения вреда жизни и здоровью граждан, так как связана с использованием транспортных средств </w:t>
            </w:r>
            <w:proofErr w:type="gramStart"/>
            <w:r w:rsidRPr="00EA16CE">
              <w:rPr>
                <w:sz w:val="20"/>
                <w:szCs w:val="20"/>
              </w:rPr>
              <w:t>с</w:t>
            </w:r>
            <w:proofErr w:type="gramEnd"/>
            <w:r w:rsidRPr="00EA16CE">
              <w:rPr>
                <w:sz w:val="20"/>
                <w:szCs w:val="20"/>
              </w:rPr>
              <w:t xml:space="preserve"> повышенной </w:t>
            </w:r>
            <w:proofErr w:type="spellStart"/>
            <w:r w:rsidRPr="00EA16CE">
              <w:rPr>
                <w:sz w:val="20"/>
                <w:szCs w:val="20"/>
              </w:rPr>
              <w:t>пассажировместимостью</w:t>
            </w:r>
            <w:proofErr w:type="spellEnd"/>
            <w:r w:rsidRPr="00EA16CE">
              <w:rPr>
                <w:sz w:val="20"/>
                <w:szCs w:val="20"/>
              </w:rPr>
              <w:t>. Следовательно, данную перевозку должен осуществлять только проверенный, квалифицированный и здоровый работник, а не «человек со стороны».</w:t>
            </w:r>
          </w:p>
        </w:tc>
        <w:tc>
          <w:tcPr>
            <w:tcW w:w="5245"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lastRenderedPageBreak/>
              <w:t>Необходимо в подпункте «б» пункта 4 Положения о лицензировании исключить слова «договор об оказании услуг».</w:t>
            </w:r>
          </w:p>
          <w:p w:rsidR="00657A8B" w:rsidRPr="00EA16CE" w:rsidRDefault="00657A8B" w:rsidP="00657A8B">
            <w:pPr>
              <w:pStyle w:val="80"/>
              <w:shd w:val="clear" w:color="auto" w:fill="auto"/>
              <w:spacing w:line="240" w:lineRule="auto"/>
              <w:jc w:val="both"/>
              <w:rPr>
                <w:sz w:val="20"/>
                <w:szCs w:val="20"/>
              </w:rPr>
            </w:pPr>
          </w:p>
        </w:tc>
      </w:tr>
      <w:tr w:rsidR="00657A8B" w:rsidRPr="00657A8B" w:rsidTr="00657A8B">
        <w:tc>
          <w:tcPr>
            <w:tcW w:w="459" w:type="dxa"/>
          </w:tcPr>
          <w:p w:rsidR="00657A8B" w:rsidRPr="00EA16CE" w:rsidRDefault="00657A8B" w:rsidP="00657A8B">
            <w:pPr>
              <w:pStyle w:val="80"/>
              <w:shd w:val="clear" w:color="auto" w:fill="auto"/>
              <w:spacing w:line="240" w:lineRule="auto"/>
              <w:jc w:val="both"/>
              <w:rPr>
                <w:sz w:val="20"/>
                <w:szCs w:val="20"/>
              </w:rPr>
            </w:pPr>
            <w:r w:rsidRPr="00EA16CE">
              <w:rPr>
                <w:b w:val="0"/>
                <w:sz w:val="20"/>
                <w:szCs w:val="20"/>
              </w:rPr>
              <w:lastRenderedPageBreak/>
              <w:t>10</w:t>
            </w:r>
          </w:p>
        </w:tc>
        <w:tc>
          <w:tcPr>
            <w:tcW w:w="5353" w:type="dxa"/>
          </w:tcPr>
          <w:p w:rsidR="00657A8B" w:rsidRPr="00EA16CE" w:rsidRDefault="00657A8B" w:rsidP="00657A8B">
            <w:pPr>
              <w:pStyle w:val="2"/>
              <w:shd w:val="clear" w:color="auto" w:fill="auto"/>
              <w:spacing w:line="240" w:lineRule="auto"/>
              <w:jc w:val="both"/>
              <w:rPr>
                <w:sz w:val="20"/>
                <w:szCs w:val="20"/>
              </w:rPr>
            </w:pPr>
            <w:proofErr w:type="gramStart"/>
            <w:r w:rsidRPr="00EA16CE">
              <w:rPr>
                <w:sz w:val="20"/>
                <w:szCs w:val="20"/>
              </w:rPr>
              <w:t>Федеральный закон от 08 ноября 2007 года № 259-ФЗ «Устав автомобильного транспорта и городского наземного электрического тр</w:t>
            </w:r>
            <w:r w:rsidRPr="00EA16CE">
              <w:rPr>
                <w:rStyle w:val="1"/>
                <w:sz w:val="20"/>
                <w:szCs w:val="20"/>
              </w:rPr>
              <w:t>ан</w:t>
            </w:r>
            <w:r w:rsidRPr="00EA16CE">
              <w:rPr>
                <w:sz w:val="20"/>
                <w:szCs w:val="20"/>
              </w:rPr>
              <w:t xml:space="preserve">спорта» не предусматривает условий договора фрахтования в части зависимости количества пассажиров от предельной </w:t>
            </w:r>
            <w:proofErr w:type="spellStart"/>
            <w:r w:rsidRPr="00EA16CE">
              <w:rPr>
                <w:sz w:val="20"/>
                <w:szCs w:val="20"/>
              </w:rPr>
              <w:t>пассажировместимости</w:t>
            </w:r>
            <w:proofErr w:type="spellEnd"/>
            <w:r w:rsidRPr="00EA16CE">
              <w:rPr>
                <w:sz w:val="20"/>
                <w:szCs w:val="20"/>
              </w:rPr>
              <w:t>, указания цели заказа автобуса, указания в списке договора фрахтования паспортных данных всех пассажиров, невозможности фрахтования части вместимости транспортного средства.</w:t>
            </w:r>
            <w:proofErr w:type="gramEnd"/>
          </w:p>
          <w:p w:rsidR="00657A8B" w:rsidRPr="00EA16CE" w:rsidRDefault="00657A8B" w:rsidP="00657A8B">
            <w:pPr>
              <w:pStyle w:val="80"/>
              <w:shd w:val="clear" w:color="auto" w:fill="auto"/>
              <w:spacing w:line="240" w:lineRule="auto"/>
              <w:jc w:val="both"/>
              <w:rPr>
                <w:sz w:val="20"/>
                <w:szCs w:val="20"/>
              </w:rPr>
            </w:pPr>
          </w:p>
        </w:tc>
        <w:tc>
          <w:tcPr>
            <w:tcW w:w="5245" w:type="dxa"/>
          </w:tcPr>
          <w:p w:rsidR="00657A8B" w:rsidRPr="00EA16CE" w:rsidRDefault="00657A8B" w:rsidP="00657A8B">
            <w:pPr>
              <w:pStyle w:val="2"/>
              <w:shd w:val="clear" w:color="auto" w:fill="auto"/>
              <w:tabs>
                <w:tab w:val="left" w:pos="743"/>
              </w:tabs>
              <w:spacing w:line="240" w:lineRule="auto"/>
              <w:jc w:val="both"/>
              <w:rPr>
                <w:sz w:val="20"/>
                <w:szCs w:val="20"/>
              </w:rPr>
            </w:pPr>
            <w:r w:rsidRPr="00EA16CE">
              <w:rPr>
                <w:sz w:val="20"/>
                <w:szCs w:val="20"/>
              </w:rPr>
              <w:t>Предусмотреть в части 2 статьи 27 Федерального закона от 08 ноября 2007 года № 259-ФЗ «Устав автомобильного транспорта и городского наземного электрического транспорта» в качестве существенных условий договора фрахтования:</w:t>
            </w:r>
          </w:p>
          <w:p w:rsidR="00657A8B" w:rsidRPr="00EA16CE" w:rsidRDefault="00657A8B" w:rsidP="00657A8B">
            <w:pPr>
              <w:pStyle w:val="2"/>
              <w:numPr>
                <w:ilvl w:val="0"/>
                <w:numId w:val="3"/>
              </w:numPr>
              <w:shd w:val="clear" w:color="auto" w:fill="auto"/>
              <w:tabs>
                <w:tab w:val="left" w:pos="743"/>
                <w:tab w:val="left" w:pos="1179"/>
              </w:tabs>
              <w:spacing w:line="240" w:lineRule="auto"/>
              <w:ind w:firstLine="317"/>
              <w:jc w:val="both"/>
              <w:rPr>
                <w:sz w:val="20"/>
                <w:szCs w:val="20"/>
              </w:rPr>
            </w:pPr>
            <w:r w:rsidRPr="00EA16CE">
              <w:rPr>
                <w:sz w:val="20"/>
                <w:szCs w:val="20"/>
              </w:rPr>
              <w:t xml:space="preserve">количество пассажиров, в отношении которых заключается договор фрахтования (согласно списку), которое не должно превышать </w:t>
            </w:r>
            <w:proofErr w:type="gramStart"/>
            <w:r w:rsidRPr="00EA16CE">
              <w:rPr>
                <w:sz w:val="20"/>
                <w:szCs w:val="20"/>
              </w:rPr>
              <w:t>предельную</w:t>
            </w:r>
            <w:proofErr w:type="gramEnd"/>
            <w:r w:rsidRPr="00EA16CE">
              <w:rPr>
                <w:sz w:val="20"/>
                <w:szCs w:val="20"/>
              </w:rPr>
              <w:t xml:space="preserve"> </w:t>
            </w:r>
            <w:proofErr w:type="spellStart"/>
            <w:r w:rsidRPr="00EA16CE">
              <w:rPr>
                <w:sz w:val="20"/>
                <w:szCs w:val="20"/>
              </w:rPr>
              <w:t>пассажировместимость</w:t>
            </w:r>
            <w:proofErr w:type="spellEnd"/>
            <w:r w:rsidRPr="00EA16CE">
              <w:rPr>
                <w:sz w:val="20"/>
                <w:szCs w:val="20"/>
              </w:rPr>
              <w:t xml:space="preserve"> транспортного средства, </w:t>
            </w:r>
            <w:proofErr w:type="spellStart"/>
            <w:r w:rsidRPr="00EA16CE">
              <w:rPr>
                <w:sz w:val="20"/>
                <w:szCs w:val="20"/>
              </w:rPr>
              <w:t>используемогодля</w:t>
            </w:r>
            <w:proofErr w:type="spellEnd"/>
            <w:r w:rsidRPr="00EA16CE">
              <w:rPr>
                <w:sz w:val="20"/>
                <w:szCs w:val="20"/>
              </w:rPr>
              <w:t xml:space="preserve"> перевозок по заказу;</w:t>
            </w:r>
          </w:p>
          <w:p w:rsidR="00657A8B" w:rsidRPr="00EA16CE" w:rsidRDefault="00657A8B" w:rsidP="00657A8B">
            <w:pPr>
              <w:pStyle w:val="2"/>
              <w:numPr>
                <w:ilvl w:val="0"/>
                <w:numId w:val="3"/>
              </w:numPr>
              <w:shd w:val="clear" w:color="auto" w:fill="auto"/>
              <w:tabs>
                <w:tab w:val="left" w:pos="743"/>
                <w:tab w:val="left" w:pos="1179"/>
              </w:tabs>
              <w:spacing w:line="240" w:lineRule="auto"/>
              <w:ind w:firstLine="317"/>
              <w:jc w:val="both"/>
              <w:rPr>
                <w:sz w:val="20"/>
                <w:szCs w:val="20"/>
              </w:rPr>
            </w:pPr>
            <w:r w:rsidRPr="00EA16CE">
              <w:rPr>
                <w:sz w:val="20"/>
                <w:szCs w:val="20"/>
              </w:rPr>
              <w:t>цель заказа автобуса (например, «поездка на отдых», «</w:t>
            </w:r>
            <w:proofErr w:type="spellStart"/>
            <w:r w:rsidRPr="00EA16CE">
              <w:rPr>
                <w:sz w:val="20"/>
                <w:szCs w:val="20"/>
              </w:rPr>
              <w:t>поездкана</w:t>
            </w:r>
            <w:proofErr w:type="spellEnd"/>
            <w:r w:rsidRPr="00EA16CE">
              <w:rPr>
                <w:sz w:val="20"/>
                <w:szCs w:val="20"/>
              </w:rPr>
              <w:t xml:space="preserve"> экскурсию», «подвоз работников фрахтователя к месту работы», «транспортное обеспечение праздничных мероприятий» и т.п.),</w:t>
            </w:r>
          </w:p>
          <w:p w:rsidR="00657A8B" w:rsidRPr="00EA16CE" w:rsidRDefault="00657A8B" w:rsidP="00657A8B">
            <w:pPr>
              <w:pStyle w:val="2"/>
              <w:numPr>
                <w:ilvl w:val="0"/>
                <w:numId w:val="3"/>
              </w:numPr>
              <w:shd w:val="clear" w:color="auto" w:fill="auto"/>
              <w:tabs>
                <w:tab w:val="left" w:pos="743"/>
                <w:tab w:val="left" w:pos="1179"/>
              </w:tabs>
              <w:spacing w:line="240" w:lineRule="auto"/>
              <w:ind w:firstLine="317"/>
              <w:jc w:val="both"/>
              <w:rPr>
                <w:sz w:val="20"/>
                <w:szCs w:val="20"/>
              </w:rPr>
            </w:pPr>
            <w:r w:rsidRPr="00EA16CE">
              <w:rPr>
                <w:sz w:val="20"/>
                <w:szCs w:val="20"/>
              </w:rPr>
              <w:t>паспортные данные всех пассажиров в списке пассажиров;</w:t>
            </w:r>
          </w:p>
          <w:p w:rsidR="00657A8B" w:rsidRPr="00EA16CE" w:rsidRDefault="00657A8B" w:rsidP="00657A8B">
            <w:pPr>
              <w:pStyle w:val="2"/>
              <w:numPr>
                <w:ilvl w:val="0"/>
                <w:numId w:val="3"/>
              </w:numPr>
              <w:shd w:val="clear" w:color="auto" w:fill="auto"/>
              <w:tabs>
                <w:tab w:val="left" w:pos="743"/>
                <w:tab w:val="left" w:pos="1179"/>
              </w:tabs>
              <w:spacing w:line="240" w:lineRule="auto"/>
              <w:ind w:firstLine="317"/>
              <w:jc w:val="both"/>
              <w:rPr>
                <w:sz w:val="20"/>
                <w:szCs w:val="20"/>
              </w:rPr>
            </w:pPr>
            <w:r w:rsidRPr="00EA16CE">
              <w:rPr>
                <w:sz w:val="20"/>
                <w:szCs w:val="20"/>
              </w:rPr>
              <w:t>условие о возможности фрахтовании части вместимости тр</w:t>
            </w:r>
            <w:r w:rsidRPr="00EA16CE">
              <w:rPr>
                <w:rStyle w:val="1"/>
                <w:sz w:val="20"/>
                <w:szCs w:val="20"/>
                <w:u w:val="none"/>
              </w:rPr>
              <w:t>ан</w:t>
            </w:r>
            <w:r w:rsidRPr="00EA16CE">
              <w:rPr>
                <w:sz w:val="20"/>
                <w:szCs w:val="20"/>
              </w:rPr>
              <w:t>спортного средства не включается в договор фрахтования.</w:t>
            </w:r>
          </w:p>
        </w:tc>
      </w:tr>
      <w:tr w:rsidR="00657A8B" w:rsidRPr="00657A8B" w:rsidTr="00657A8B">
        <w:tc>
          <w:tcPr>
            <w:tcW w:w="11057" w:type="dxa"/>
            <w:gridSpan w:val="3"/>
          </w:tcPr>
          <w:p w:rsidR="00657A8B" w:rsidRPr="00EA16CE" w:rsidRDefault="00657A8B" w:rsidP="00657A8B">
            <w:pPr>
              <w:pStyle w:val="2"/>
              <w:shd w:val="clear" w:color="auto" w:fill="auto"/>
              <w:spacing w:line="240" w:lineRule="auto"/>
              <w:ind w:firstLine="700"/>
              <w:rPr>
                <w:b/>
                <w:i/>
                <w:sz w:val="20"/>
                <w:szCs w:val="20"/>
              </w:rPr>
            </w:pPr>
          </w:p>
          <w:p w:rsidR="00657A8B" w:rsidRPr="00EA16CE" w:rsidRDefault="00657A8B" w:rsidP="00657A8B">
            <w:pPr>
              <w:pStyle w:val="2"/>
              <w:shd w:val="clear" w:color="auto" w:fill="auto"/>
              <w:spacing w:line="240" w:lineRule="auto"/>
              <w:ind w:firstLine="700"/>
              <w:rPr>
                <w:b/>
                <w:i/>
                <w:sz w:val="20"/>
                <w:szCs w:val="20"/>
              </w:rPr>
            </w:pPr>
            <w:r w:rsidRPr="00EA16CE">
              <w:rPr>
                <w:b/>
                <w:i/>
                <w:sz w:val="20"/>
                <w:szCs w:val="20"/>
              </w:rPr>
              <w:t>Водный транспорт:</w:t>
            </w:r>
          </w:p>
          <w:p w:rsidR="00657A8B" w:rsidRPr="00EA16CE" w:rsidRDefault="00657A8B" w:rsidP="00657A8B">
            <w:pPr>
              <w:pStyle w:val="80"/>
              <w:shd w:val="clear" w:color="auto" w:fill="auto"/>
              <w:spacing w:line="240" w:lineRule="auto"/>
              <w:jc w:val="both"/>
              <w:rPr>
                <w:sz w:val="20"/>
                <w:szCs w:val="20"/>
              </w:rPr>
            </w:pPr>
          </w:p>
        </w:tc>
      </w:tr>
      <w:tr w:rsidR="00657A8B" w:rsidRPr="00657A8B" w:rsidTr="00657A8B">
        <w:tc>
          <w:tcPr>
            <w:tcW w:w="459" w:type="dxa"/>
          </w:tcPr>
          <w:p w:rsidR="00657A8B" w:rsidRPr="00EA16CE" w:rsidRDefault="00657A8B" w:rsidP="00657A8B">
            <w:pPr>
              <w:pStyle w:val="80"/>
              <w:shd w:val="clear" w:color="auto" w:fill="auto"/>
              <w:spacing w:line="240" w:lineRule="auto"/>
              <w:jc w:val="both"/>
              <w:rPr>
                <w:b w:val="0"/>
                <w:sz w:val="20"/>
                <w:szCs w:val="20"/>
              </w:rPr>
            </w:pPr>
            <w:r w:rsidRPr="00EA16CE">
              <w:rPr>
                <w:b w:val="0"/>
                <w:sz w:val="20"/>
                <w:szCs w:val="20"/>
              </w:rPr>
              <w:t>1.</w:t>
            </w:r>
          </w:p>
        </w:tc>
        <w:tc>
          <w:tcPr>
            <w:tcW w:w="5353"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Архангельская область является крупнейшим субъектом Российской Федерации, при этом плотность населения, приходящаяся на 1 квадратный километр, составляет всего около 2-х человек.</w:t>
            </w:r>
          </w:p>
          <w:p w:rsidR="00657A8B" w:rsidRPr="00EA16CE" w:rsidRDefault="00657A8B" w:rsidP="00657A8B">
            <w:pPr>
              <w:pStyle w:val="2"/>
              <w:shd w:val="clear" w:color="auto" w:fill="auto"/>
              <w:spacing w:line="240" w:lineRule="auto"/>
              <w:jc w:val="both"/>
              <w:rPr>
                <w:sz w:val="20"/>
                <w:szCs w:val="20"/>
              </w:rPr>
            </w:pPr>
            <w:r w:rsidRPr="00EA16CE">
              <w:rPr>
                <w:sz w:val="20"/>
                <w:szCs w:val="20"/>
              </w:rPr>
              <w:t>В Архангельской области большое количество естественных водных преград. Ежегодно на территории области в навигационный период функционирует около 57 паромных переправ и наплавных мостов.</w:t>
            </w:r>
          </w:p>
          <w:p w:rsidR="00657A8B" w:rsidRPr="00EA16CE" w:rsidRDefault="00657A8B" w:rsidP="00657A8B">
            <w:pPr>
              <w:pStyle w:val="2"/>
              <w:shd w:val="clear" w:color="auto" w:fill="auto"/>
              <w:spacing w:line="240" w:lineRule="auto"/>
              <w:jc w:val="both"/>
              <w:rPr>
                <w:sz w:val="20"/>
                <w:szCs w:val="20"/>
              </w:rPr>
            </w:pPr>
            <w:r w:rsidRPr="00EA16CE">
              <w:rPr>
                <w:sz w:val="20"/>
                <w:szCs w:val="20"/>
              </w:rPr>
              <w:t>В настоящее время на федеральном уровне не урегулированы вопросы по организации транспортного обслуживания населения водным транспортом.</w:t>
            </w:r>
          </w:p>
          <w:p w:rsidR="00657A8B" w:rsidRPr="00EA16CE" w:rsidRDefault="00657A8B" w:rsidP="00657A8B">
            <w:pPr>
              <w:pStyle w:val="2"/>
              <w:shd w:val="clear" w:color="auto" w:fill="auto"/>
              <w:tabs>
                <w:tab w:val="left" w:pos="2278"/>
              </w:tabs>
              <w:spacing w:line="240" w:lineRule="auto"/>
              <w:jc w:val="both"/>
              <w:rPr>
                <w:sz w:val="20"/>
                <w:szCs w:val="20"/>
              </w:rPr>
            </w:pPr>
            <w:r w:rsidRPr="00EA16CE">
              <w:rPr>
                <w:sz w:val="20"/>
                <w:szCs w:val="20"/>
              </w:rPr>
              <w:t>Нечеткость формулировок в Федеральном законе от 06 октября 2003 года №</w:t>
            </w:r>
            <w:r w:rsidRPr="00EA16CE">
              <w:rPr>
                <w:sz w:val="20"/>
                <w:szCs w:val="20"/>
              </w:rPr>
              <w:tab/>
              <w:t xml:space="preserve">131-ФЗ  «Об общих принципах организации местного самоуправления в Российской Федерации», таких как: «Создание условий транспортного обслуживания населения», «Организация транспортного обслуживания» привело в настоящее время к отсутствию какого-либо воздействию муниципальной власти на решения транспортных вопросов. </w:t>
            </w:r>
            <w:proofErr w:type="gramStart"/>
            <w:r w:rsidRPr="00EA16CE">
              <w:rPr>
                <w:sz w:val="20"/>
                <w:szCs w:val="20"/>
              </w:rPr>
              <w:t>Муниципальные образования в настоящее время практически не участвует в процессе организации водного транспорта, а также не понимает каким образом нужно выполнять эту функцию.</w:t>
            </w:r>
            <w:proofErr w:type="gramEnd"/>
          </w:p>
        </w:tc>
        <w:tc>
          <w:tcPr>
            <w:tcW w:w="5245"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Разработать проект Федерального закона «Об организации регулярных перевозок пассажиров и багажа водным транспортом», регулирующего правовые отношения между региональным (муниципальным) заказчиком и перевозчиками.</w:t>
            </w:r>
          </w:p>
          <w:p w:rsidR="00657A8B" w:rsidRPr="00EA16CE" w:rsidRDefault="00657A8B" w:rsidP="00657A8B">
            <w:pPr>
              <w:pStyle w:val="80"/>
              <w:shd w:val="clear" w:color="auto" w:fill="auto"/>
              <w:spacing w:line="240" w:lineRule="auto"/>
              <w:jc w:val="both"/>
              <w:rPr>
                <w:sz w:val="20"/>
                <w:szCs w:val="20"/>
              </w:rPr>
            </w:pPr>
          </w:p>
        </w:tc>
      </w:tr>
      <w:tr w:rsidR="00657A8B" w:rsidRPr="00657A8B" w:rsidTr="00657A8B">
        <w:tc>
          <w:tcPr>
            <w:tcW w:w="459" w:type="dxa"/>
          </w:tcPr>
          <w:p w:rsidR="00657A8B" w:rsidRPr="00EA16CE" w:rsidRDefault="00657A8B" w:rsidP="00657A8B">
            <w:pPr>
              <w:pStyle w:val="80"/>
              <w:shd w:val="clear" w:color="auto" w:fill="auto"/>
              <w:spacing w:line="240" w:lineRule="auto"/>
              <w:jc w:val="both"/>
              <w:rPr>
                <w:b w:val="0"/>
                <w:sz w:val="20"/>
                <w:szCs w:val="20"/>
              </w:rPr>
            </w:pPr>
            <w:r w:rsidRPr="00EA16CE">
              <w:rPr>
                <w:b w:val="0"/>
                <w:sz w:val="20"/>
                <w:szCs w:val="20"/>
              </w:rPr>
              <w:t>2.</w:t>
            </w:r>
          </w:p>
        </w:tc>
        <w:tc>
          <w:tcPr>
            <w:tcW w:w="5353"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Согласно проведенному министерством транспорта Архангельской области мониторингу среднего возраста судов под флагом Российской федерации, зарегистрированных в морском порту Архангельск, в 2016 году установлено, что средний возраст судов составляет 33 года.</w:t>
            </w:r>
          </w:p>
          <w:p w:rsidR="00657A8B" w:rsidRPr="00EA16CE" w:rsidRDefault="00657A8B" w:rsidP="00657A8B">
            <w:pPr>
              <w:pStyle w:val="2"/>
              <w:shd w:val="clear" w:color="auto" w:fill="auto"/>
              <w:spacing w:line="240" w:lineRule="auto"/>
              <w:jc w:val="both"/>
              <w:rPr>
                <w:sz w:val="20"/>
                <w:szCs w:val="20"/>
              </w:rPr>
            </w:pPr>
            <w:r w:rsidRPr="00EA16CE">
              <w:rPr>
                <w:sz w:val="20"/>
                <w:szCs w:val="20"/>
              </w:rPr>
              <w:t>Требуется механизм государственной поддержки судовладельцев по омоложению флота.</w:t>
            </w:r>
          </w:p>
          <w:p w:rsidR="00657A8B" w:rsidRPr="00EA16CE" w:rsidRDefault="00657A8B" w:rsidP="00657A8B">
            <w:pPr>
              <w:pStyle w:val="80"/>
              <w:shd w:val="clear" w:color="auto" w:fill="auto"/>
              <w:spacing w:line="240" w:lineRule="auto"/>
              <w:jc w:val="both"/>
              <w:rPr>
                <w:sz w:val="20"/>
                <w:szCs w:val="20"/>
              </w:rPr>
            </w:pPr>
          </w:p>
        </w:tc>
        <w:tc>
          <w:tcPr>
            <w:tcW w:w="5245" w:type="dxa"/>
          </w:tcPr>
          <w:p w:rsidR="00657A8B" w:rsidRPr="00EA16CE" w:rsidRDefault="00657A8B" w:rsidP="00657A8B">
            <w:pPr>
              <w:pStyle w:val="2"/>
              <w:shd w:val="clear" w:color="auto" w:fill="auto"/>
              <w:spacing w:line="240" w:lineRule="auto"/>
              <w:jc w:val="both"/>
              <w:rPr>
                <w:sz w:val="20"/>
                <w:szCs w:val="20"/>
              </w:rPr>
            </w:pPr>
            <w:r w:rsidRPr="00EA16CE">
              <w:rPr>
                <w:sz w:val="20"/>
                <w:szCs w:val="20"/>
              </w:rPr>
              <w:t xml:space="preserve">Разработка программы по финансированию строительства судов ледового класса и причальной инфраструктуры по проектам Министерства транспорта Российской Федерации для развития Арктических регионов на условиях </w:t>
            </w:r>
            <w:proofErr w:type="spellStart"/>
            <w:r w:rsidRPr="00EA16CE">
              <w:rPr>
                <w:sz w:val="20"/>
                <w:szCs w:val="20"/>
              </w:rPr>
              <w:t>софинансирования</w:t>
            </w:r>
            <w:proofErr w:type="spellEnd"/>
            <w:r w:rsidRPr="00EA16CE">
              <w:rPr>
                <w:sz w:val="20"/>
                <w:szCs w:val="20"/>
              </w:rPr>
              <w:t xml:space="preserve"> из федерального бюджета.</w:t>
            </w:r>
          </w:p>
          <w:p w:rsidR="00657A8B" w:rsidRPr="00EA16CE" w:rsidRDefault="00657A8B" w:rsidP="00657A8B">
            <w:pPr>
              <w:pStyle w:val="80"/>
              <w:shd w:val="clear" w:color="auto" w:fill="auto"/>
              <w:spacing w:line="240" w:lineRule="auto"/>
              <w:jc w:val="both"/>
              <w:rPr>
                <w:sz w:val="20"/>
                <w:szCs w:val="20"/>
              </w:rPr>
            </w:pPr>
          </w:p>
        </w:tc>
      </w:tr>
    </w:tbl>
    <w:p w:rsidR="000E3FDE" w:rsidRDefault="000E3FDE"/>
    <w:sectPr w:rsidR="000E3FDE" w:rsidSect="00657A8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B7F2A"/>
    <w:multiLevelType w:val="multilevel"/>
    <w:tmpl w:val="9D4AA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475787"/>
    <w:multiLevelType w:val="multilevel"/>
    <w:tmpl w:val="5BC27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1654FD"/>
    <w:multiLevelType w:val="multilevel"/>
    <w:tmpl w:val="70749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657A8B"/>
    <w:rsid w:val="000E3FDE"/>
    <w:rsid w:val="0042639C"/>
    <w:rsid w:val="00657A8B"/>
    <w:rsid w:val="00EA1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7A8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657A8B"/>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657A8B"/>
    <w:rPr>
      <w:rFonts w:ascii="Times New Roman" w:eastAsia="Times New Roman" w:hAnsi="Times New Roman" w:cs="Times New Roman"/>
      <w:b/>
      <w:bCs/>
      <w:spacing w:val="-10"/>
      <w:sz w:val="29"/>
      <w:szCs w:val="29"/>
      <w:shd w:val="clear" w:color="auto" w:fill="FFFFFF"/>
    </w:rPr>
  </w:style>
  <w:style w:type="paragraph" w:customStyle="1" w:styleId="2">
    <w:name w:val="Основной текст2"/>
    <w:basedOn w:val="a"/>
    <w:link w:val="a3"/>
    <w:rsid w:val="00657A8B"/>
    <w:pPr>
      <w:shd w:val="clear" w:color="auto" w:fill="FFFFFF"/>
      <w:spacing w:line="370" w:lineRule="exact"/>
      <w:jc w:val="center"/>
    </w:pPr>
    <w:rPr>
      <w:rFonts w:ascii="Times New Roman" w:eastAsia="Times New Roman" w:hAnsi="Times New Roman" w:cs="Times New Roman"/>
      <w:color w:val="auto"/>
      <w:sz w:val="28"/>
      <w:szCs w:val="28"/>
      <w:lang w:eastAsia="en-US"/>
    </w:rPr>
  </w:style>
  <w:style w:type="paragraph" w:customStyle="1" w:styleId="80">
    <w:name w:val="Основной текст (8)"/>
    <w:basedOn w:val="a"/>
    <w:link w:val="8"/>
    <w:rsid w:val="00657A8B"/>
    <w:pPr>
      <w:shd w:val="clear" w:color="auto" w:fill="FFFFFF"/>
      <w:spacing w:line="336" w:lineRule="exact"/>
      <w:jc w:val="center"/>
    </w:pPr>
    <w:rPr>
      <w:rFonts w:ascii="Times New Roman" w:eastAsia="Times New Roman" w:hAnsi="Times New Roman" w:cs="Times New Roman"/>
      <w:b/>
      <w:bCs/>
      <w:color w:val="auto"/>
      <w:spacing w:val="-10"/>
      <w:sz w:val="29"/>
      <w:szCs w:val="29"/>
      <w:lang w:eastAsia="en-US"/>
    </w:rPr>
  </w:style>
  <w:style w:type="table" w:styleId="a4">
    <w:name w:val="Table Grid"/>
    <w:basedOn w:val="a1"/>
    <w:uiPriority w:val="59"/>
    <w:rsid w:val="00657A8B"/>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
    <w:name w:val="Основной текст + 12 pt"/>
    <w:basedOn w:val="a3"/>
    <w:rsid w:val="00657A8B"/>
    <w:rPr>
      <w:b w:val="0"/>
      <w:bCs w:val="0"/>
      <w:i w:val="0"/>
      <w:iCs w:val="0"/>
      <w:smallCaps w:val="0"/>
      <w:strike w:val="0"/>
      <w:color w:val="000000"/>
      <w:spacing w:val="0"/>
      <w:w w:val="100"/>
      <w:position w:val="0"/>
      <w:sz w:val="24"/>
      <w:szCs w:val="24"/>
      <w:u w:val="none"/>
      <w:lang w:val="ru-RU"/>
    </w:rPr>
  </w:style>
  <w:style w:type="character" w:customStyle="1" w:styleId="1">
    <w:name w:val="Основной текст1"/>
    <w:basedOn w:val="a3"/>
    <w:rsid w:val="00657A8B"/>
    <w:rPr>
      <w:b w:val="0"/>
      <w:bCs w:val="0"/>
      <w:i w:val="0"/>
      <w:iCs w:val="0"/>
      <w:smallCaps w:val="0"/>
      <w:strike w:val="0"/>
      <w:color w:val="000000"/>
      <w:spacing w:val="0"/>
      <w:w w:val="100"/>
      <w:position w:val="0"/>
      <w:u w:val="singl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bandura</dc:creator>
  <cp:keywords/>
  <dc:description/>
  <cp:lastModifiedBy>bandura</cp:lastModifiedBy>
  <cp:revision>4</cp:revision>
  <dcterms:created xsi:type="dcterms:W3CDTF">2017-12-18T07:57:00Z</dcterms:created>
  <dcterms:modified xsi:type="dcterms:W3CDTF">2017-12-18T08:29:00Z</dcterms:modified>
</cp:coreProperties>
</file>