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8B6784">
        <w:rPr>
          <w:b/>
          <w:sz w:val="24"/>
          <w:szCs w:val="24"/>
        </w:rPr>
        <w:t>1</w:t>
      </w:r>
      <w:r w:rsidR="00B13302">
        <w:rPr>
          <w:b/>
          <w:sz w:val="24"/>
          <w:szCs w:val="24"/>
        </w:rPr>
        <w:t>4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B13302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B13302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996B44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867B0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996B4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996B44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13302" w:rsidTr="00B13302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232630" w:rsidRDefault="00B13302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B13302" w:rsidRDefault="00B13302" w:rsidP="00B13302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>«Об областном бюджете на 2018 год и на плановый период 2019 и 2020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B13302" w:rsidRDefault="00B13302" w:rsidP="003730EA">
            <w:pPr>
              <w:rPr>
                <w:bCs/>
                <w:sz w:val="18"/>
                <w:szCs w:val="18"/>
              </w:rPr>
            </w:pPr>
            <w:r w:rsidRPr="00B13302">
              <w:rPr>
                <w:bCs/>
                <w:sz w:val="18"/>
                <w:szCs w:val="18"/>
              </w:rPr>
              <w:t xml:space="preserve">Губернатор Архангельской области </w:t>
            </w:r>
          </w:p>
          <w:p w:rsidR="00B13302" w:rsidRPr="00B13302" w:rsidRDefault="00B13302" w:rsidP="003730EA">
            <w:pPr>
              <w:rPr>
                <w:bCs/>
                <w:sz w:val="18"/>
                <w:szCs w:val="18"/>
              </w:rPr>
            </w:pPr>
            <w:r w:rsidRPr="00B13302">
              <w:rPr>
                <w:bCs/>
                <w:sz w:val="18"/>
                <w:szCs w:val="18"/>
              </w:rPr>
              <w:t>И.А. Орлов</w:t>
            </w:r>
          </w:p>
          <w:p w:rsidR="00B13302" w:rsidRPr="006E2BAB" w:rsidRDefault="00B13302" w:rsidP="003730EA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B13302" w:rsidRDefault="00B13302" w:rsidP="00B13302">
            <w:pPr>
              <w:pStyle w:val="22"/>
              <w:shd w:val="clear" w:color="auto" w:fill="auto"/>
              <w:spacing w:after="0" w:line="240" w:lineRule="auto"/>
              <w:ind w:right="62"/>
              <w:jc w:val="both"/>
              <w:rPr>
                <w:rStyle w:val="23"/>
                <w:sz w:val="18"/>
                <w:szCs w:val="18"/>
              </w:rPr>
            </w:pPr>
            <w:r w:rsidRPr="00B13302">
              <w:rPr>
                <w:rStyle w:val="23"/>
                <w:sz w:val="18"/>
                <w:szCs w:val="18"/>
              </w:rPr>
              <w:t xml:space="preserve">Госпрограмма </w:t>
            </w:r>
            <w:r w:rsidRPr="00B13302">
              <w:rPr>
                <w:b w:val="0"/>
                <w:sz w:val="18"/>
                <w:szCs w:val="18"/>
              </w:rPr>
      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(2014-2020 годы)»</w:t>
            </w:r>
            <w:proofErr w:type="gramStart"/>
            <w:r w:rsidRPr="00B13302">
              <w:rPr>
                <w:b w:val="0"/>
                <w:sz w:val="18"/>
                <w:szCs w:val="18"/>
              </w:rPr>
              <w:t>.О</w:t>
            </w:r>
            <w:proofErr w:type="gramEnd"/>
            <w:r w:rsidRPr="00B13302">
              <w:rPr>
                <w:b w:val="0"/>
                <w:sz w:val="18"/>
                <w:szCs w:val="18"/>
              </w:rPr>
              <w:t>бъем расходов на реализацию госпрограммы</w:t>
            </w:r>
            <w:r w:rsidRPr="00B13302">
              <w:rPr>
                <w:sz w:val="18"/>
                <w:szCs w:val="18"/>
              </w:rPr>
              <w:t xml:space="preserve"> </w:t>
            </w:r>
            <w:r w:rsidRPr="00B13302">
              <w:rPr>
                <w:rStyle w:val="23"/>
                <w:sz w:val="18"/>
                <w:szCs w:val="18"/>
              </w:rPr>
              <w:t>в 2018 году составит 8,4 млн. рублей (в 2017 году выделено – 3,9 млн. руб.). Бюджетные ассигнования на реализацию данной государственной программы в 2018 году по сравнению с уровнем 2017 года увеличены более чем вдвое (на 4,5 млн. рублей). В 2019 году и в 2020 году параметры финансового обеспечения на реализацию программы запланированы в одинаковом размере - 4,1 млн. рублей.</w:t>
            </w:r>
          </w:p>
          <w:p w:rsidR="00B13302" w:rsidRPr="00B13302" w:rsidRDefault="00B13302" w:rsidP="00B13302">
            <w:pPr>
              <w:pStyle w:val="22"/>
              <w:numPr>
                <w:ilvl w:val="1"/>
                <w:numId w:val="7"/>
              </w:numPr>
              <w:shd w:val="clear" w:color="auto" w:fill="auto"/>
              <w:spacing w:after="0" w:line="240" w:lineRule="auto"/>
              <w:ind w:left="0" w:right="60" w:firstLine="720"/>
              <w:jc w:val="both"/>
              <w:rPr>
                <w:b w:val="0"/>
                <w:sz w:val="18"/>
                <w:szCs w:val="18"/>
              </w:rPr>
            </w:pPr>
            <w:r w:rsidRPr="00B13302">
              <w:rPr>
                <w:rStyle w:val="23"/>
                <w:sz w:val="18"/>
                <w:szCs w:val="18"/>
              </w:rPr>
              <w:t xml:space="preserve">Подпрограмма </w:t>
            </w:r>
            <w:r w:rsidRPr="00B13302">
              <w:rPr>
                <w:sz w:val="18"/>
                <w:szCs w:val="18"/>
              </w:rPr>
              <w:t xml:space="preserve">«Профилактика незаконного </w:t>
            </w:r>
            <w:r w:rsidRPr="00B13302">
              <w:rPr>
                <w:sz w:val="18"/>
                <w:szCs w:val="18"/>
              </w:rPr>
              <w:lastRenderedPageBreak/>
              <w:t xml:space="preserve">потребления наркотических средств и психотропных веществ, реабилитация и </w:t>
            </w:r>
            <w:proofErr w:type="spellStart"/>
            <w:r w:rsidRPr="00B13302">
              <w:rPr>
                <w:sz w:val="18"/>
                <w:szCs w:val="18"/>
              </w:rPr>
              <w:t>ресоциализация</w:t>
            </w:r>
            <w:proofErr w:type="spellEnd"/>
            <w:r w:rsidRPr="00B13302">
              <w:rPr>
                <w:sz w:val="18"/>
                <w:szCs w:val="18"/>
              </w:rPr>
              <w:t xml:space="preserve"> потребителей наркотических средств и психотропных веществ»</w:t>
            </w:r>
            <w:r w:rsidRPr="00B13302">
              <w:rPr>
                <w:b w:val="0"/>
                <w:sz w:val="18"/>
                <w:szCs w:val="18"/>
              </w:rPr>
              <w:t xml:space="preserve"> обеспечивается</w:t>
            </w:r>
            <w:r w:rsidRPr="00B13302">
              <w:rPr>
                <w:rStyle w:val="23"/>
                <w:sz w:val="18"/>
                <w:szCs w:val="18"/>
              </w:rPr>
              <w:t xml:space="preserve"> финансированием в 2018 году в размере 1,1 млн. рублей.  Параметры финансового обеспечения подпрограммы по сравнению с предыдущим годом (в 2017 году – 0,5 млн. рублей) увеличены на 0,6 млн. рублей. </w:t>
            </w:r>
          </w:p>
          <w:p w:rsidR="00B13302" w:rsidRPr="00B13302" w:rsidRDefault="00B13302" w:rsidP="00B13302">
            <w:pPr>
              <w:jc w:val="both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 xml:space="preserve">На организацию и проведение областного конкурса агитбригад образовательных организаций и выездных семинаров для специалистов образовательных организаций по вопросам профилактики незаконного потребления наркотических средств и психотропных веществ                                       в образовательной среде министерству образования и науки Архангельской области  предусмотрено 0,4 млн. рублей, в том числе: </w:t>
            </w:r>
          </w:p>
          <w:p w:rsidR="00B13302" w:rsidRPr="00B13302" w:rsidRDefault="00B13302" w:rsidP="00B13302">
            <w:pPr>
              <w:ind w:firstLine="708"/>
              <w:jc w:val="both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>- организация и проведение областного конкурса агитбригад образовательных учреждений «Мы выбираем жизнь!» - 100 тыс. рублей;</w:t>
            </w:r>
          </w:p>
          <w:p w:rsidR="00B13302" w:rsidRPr="00B13302" w:rsidRDefault="00B13302" w:rsidP="00B13302">
            <w:pPr>
              <w:ind w:firstLine="708"/>
              <w:jc w:val="both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>- организация и проведение выездных семинаров для специалистов образовательных организаций – 350 тыс. рублей.</w:t>
            </w:r>
          </w:p>
          <w:p w:rsidR="00B13302" w:rsidRPr="00B13302" w:rsidRDefault="00B13302" w:rsidP="00B13302">
            <w:pPr>
              <w:ind w:firstLine="720"/>
              <w:jc w:val="both"/>
              <w:rPr>
                <w:rStyle w:val="23"/>
                <w:b w:val="0"/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 xml:space="preserve">В рамках проведения мероприятий в сфере общегосударственных вопросов запланированы 400 тыс. рублей для ГАУ «Центр изучения общественного мнения» на организацию и проведение социологического исследования о распространенности злоупотреблений наркотическими средствами среди населения Архангельской области в рамках мониторинга </w:t>
            </w:r>
            <w:proofErr w:type="spellStart"/>
            <w:r w:rsidRPr="00B13302">
              <w:rPr>
                <w:sz w:val="18"/>
                <w:szCs w:val="18"/>
              </w:rPr>
              <w:t>наркоситуации</w:t>
            </w:r>
            <w:proofErr w:type="spellEnd"/>
            <w:r w:rsidRPr="00B13302">
              <w:rPr>
                <w:sz w:val="18"/>
                <w:szCs w:val="18"/>
              </w:rPr>
              <w:t xml:space="preserve"> в Архангельской области. </w:t>
            </w:r>
            <w:r w:rsidRPr="00B13302">
              <w:rPr>
                <w:rStyle w:val="23"/>
                <w:b w:val="0"/>
                <w:sz w:val="18"/>
                <w:szCs w:val="18"/>
              </w:rPr>
              <w:t>На 2019 и 2020 годы запланированы ассигнования по 1 млн. рублей ежегодно.</w:t>
            </w:r>
          </w:p>
          <w:p w:rsidR="00B13302" w:rsidRPr="00B13302" w:rsidRDefault="00B13302" w:rsidP="00B13302">
            <w:pPr>
              <w:pStyle w:val="1"/>
              <w:numPr>
                <w:ilvl w:val="1"/>
                <w:numId w:val="7"/>
              </w:numPr>
              <w:shd w:val="clear" w:color="auto" w:fill="auto"/>
              <w:spacing w:before="0" w:line="240" w:lineRule="auto"/>
              <w:ind w:left="0" w:right="40" w:firstLine="709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 xml:space="preserve">Подпрограмма </w:t>
            </w:r>
            <w:r w:rsidRPr="00B13302">
              <w:rPr>
                <w:rStyle w:val="af2"/>
                <w:rFonts w:eastAsiaTheme="minorHAnsi"/>
                <w:sz w:val="18"/>
                <w:szCs w:val="18"/>
              </w:rPr>
              <w:t xml:space="preserve">«Профилактика преступлений и иных правонарушений в </w:t>
            </w:r>
            <w:r w:rsidRPr="00B13302">
              <w:rPr>
                <w:rStyle w:val="af2"/>
                <w:rFonts w:eastAsiaTheme="minorHAnsi"/>
                <w:sz w:val="18"/>
                <w:szCs w:val="18"/>
              </w:rPr>
              <w:lastRenderedPageBreak/>
              <w:t xml:space="preserve">Архангельской области» </w:t>
            </w:r>
            <w:r w:rsidRPr="00B13302">
              <w:rPr>
                <w:sz w:val="18"/>
                <w:szCs w:val="18"/>
              </w:rPr>
              <w:t xml:space="preserve">с финансированием в 2018 году в размере 1,2 млн. рублей характеризуется уменьшением бюджетных ассигнований по сравнению с 2017 годом (в 2017 году – 3,3 млн. рублей). </w:t>
            </w:r>
          </w:p>
          <w:p w:rsidR="00B13302" w:rsidRPr="00B13302" w:rsidRDefault="00B13302" w:rsidP="00B13302">
            <w:pPr>
              <w:pStyle w:val="1"/>
              <w:shd w:val="clear" w:color="auto" w:fill="auto"/>
              <w:spacing w:before="0" w:line="240" w:lineRule="auto"/>
              <w:ind w:right="40" w:firstLine="708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 xml:space="preserve">За счет указанных ассигнований будет обеспечено создание и размещение телепрограмм, освещающих деятельность правоохранительных органов Архангельской области. </w:t>
            </w:r>
          </w:p>
          <w:p w:rsidR="00B13302" w:rsidRPr="00B13302" w:rsidRDefault="00B13302" w:rsidP="00B13302">
            <w:pPr>
              <w:jc w:val="both"/>
              <w:rPr>
                <w:sz w:val="18"/>
                <w:szCs w:val="18"/>
              </w:rPr>
            </w:pPr>
            <w:proofErr w:type="gramStart"/>
            <w:r w:rsidRPr="00B13302">
              <w:rPr>
                <w:sz w:val="18"/>
                <w:szCs w:val="18"/>
              </w:rPr>
              <w:t>Ассигнования на мероприятия в сфере патриотического воспитания, осуществляемые подведомственными учреждениями, в сумме 0,4 млн. рублей планируется передать ГАУ «Молодежный центр» на проведение информационно-просветительских мероприятий, направленных на профилактику незаконного потребления наркотических средств и психотропных веществ и экстремизма и терроризма, а также пропаганду здорового образа жизни в молодежной среде.</w:t>
            </w:r>
            <w:proofErr w:type="gramEnd"/>
            <w:r w:rsidRPr="00B13302">
              <w:rPr>
                <w:sz w:val="18"/>
                <w:szCs w:val="18"/>
              </w:rPr>
              <w:t xml:space="preserve"> На плановый период 2019 и 2020 годов прослеживается дальнейшее снижение финансирования на эти цели.</w:t>
            </w:r>
          </w:p>
          <w:p w:rsidR="00B13302" w:rsidRPr="00B13302" w:rsidRDefault="00B13302" w:rsidP="00B13302">
            <w:pPr>
              <w:pStyle w:val="1"/>
              <w:numPr>
                <w:ilvl w:val="1"/>
                <w:numId w:val="7"/>
              </w:numPr>
              <w:shd w:val="clear" w:color="auto" w:fill="auto"/>
              <w:spacing w:before="0" w:line="240" w:lineRule="auto"/>
              <w:ind w:left="0" w:right="40" w:firstLine="709"/>
              <w:rPr>
                <w:sz w:val="18"/>
                <w:szCs w:val="18"/>
              </w:rPr>
            </w:pPr>
            <w:r w:rsidRPr="00B13302">
              <w:rPr>
                <w:rStyle w:val="23"/>
                <w:rFonts w:eastAsiaTheme="minorHAnsi"/>
                <w:b w:val="0"/>
                <w:sz w:val="18"/>
                <w:szCs w:val="18"/>
              </w:rPr>
              <w:t>Подпрограмма</w:t>
            </w:r>
            <w:r w:rsidRPr="00B13302">
              <w:rPr>
                <w:rStyle w:val="23"/>
                <w:rFonts w:eastAsiaTheme="minorHAnsi"/>
                <w:sz w:val="18"/>
                <w:szCs w:val="18"/>
              </w:rPr>
              <w:t xml:space="preserve"> </w:t>
            </w:r>
            <w:r w:rsidRPr="00B13302">
              <w:rPr>
                <w:b/>
                <w:sz w:val="18"/>
                <w:szCs w:val="18"/>
              </w:rPr>
              <w:t>«Профилактика экстремизма и терроризма в Архангельской области»</w:t>
            </w:r>
            <w:r w:rsidRPr="00B13302">
              <w:rPr>
                <w:sz w:val="18"/>
                <w:szCs w:val="18"/>
              </w:rPr>
              <w:t xml:space="preserve"> с финансированием в 2018 году в размере 6,1 млн. руб. (в 2017 году финансовые средства на реализацию подпрограммы не выделялись). Выделенные объемы финансирования соотнесены с программными мероприятиями, запланированными к проведению в следующем году министерством образования и науки Архангельской области по установке ограждений территории образовательных учреждений.</w:t>
            </w:r>
          </w:p>
          <w:p w:rsidR="00B13302" w:rsidRPr="00B13302" w:rsidRDefault="00B13302" w:rsidP="00B13302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right="40" w:firstLine="709"/>
              <w:rPr>
                <w:rStyle w:val="23"/>
                <w:rFonts w:eastAsiaTheme="minorHAnsi"/>
                <w:b w:val="0"/>
                <w:bCs w:val="0"/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 xml:space="preserve">На реализацию государственной программы </w:t>
            </w:r>
            <w:r w:rsidRPr="00B13302">
              <w:rPr>
                <w:rStyle w:val="af2"/>
                <w:rFonts w:eastAsiaTheme="minorHAnsi"/>
                <w:sz w:val="18"/>
                <w:szCs w:val="18"/>
              </w:rPr>
              <w:t xml:space="preserve">«Эффективное государственное управление в Архангельской </w:t>
            </w:r>
            <w:r w:rsidRPr="00B13302">
              <w:rPr>
                <w:rStyle w:val="af2"/>
                <w:rFonts w:eastAsiaTheme="minorHAnsi"/>
                <w:sz w:val="18"/>
                <w:szCs w:val="18"/>
              </w:rPr>
              <w:lastRenderedPageBreak/>
              <w:t xml:space="preserve">области (2014-2020 годы)» </w:t>
            </w:r>
            <w:r w:rsidRPr="00B13302">
              <w:rPr>
                <w:sz w:val="18"/>
                <w:szCs w:val="18"/>
              </w:rPr>
              <w:t>в 2018 году запланировано выделить 1643,7 млн. руб. (выше уровня расходов 2017 года на 330, 2 млн. руб. или на 20%).</w:t>
            </w:r>
          </w:p>
          <w:p w:rsidR="00B13302" w:rsidRPr="00B13302" w:rsidRDefault="00B13302" w:rsidP="00B13302">
            <w:pPr>
              <w:pStyle w:val="22"/>
              <w:numPr>
                <w:ilvl w:val="1"/>
                <w:numId w:val="7"/>
              </w:numPr>
              <w:shd w:val="clear" w:color="auto" w:fill="auto"/>
              <w:spacing w:after="0" w:line="240" w:lineRule="auto"/>
              <w:ind w:left="0" w:right="40" w:firstLine="720"/>
              <w:jc w:val="both"/>
              <w:rPr>
                <w:rStyle w:val="23"/>
                <w:sz w:val="18"/>
                <w:szCs w:val="18"/>
              </w:rPr>
            </w:pPr>
            <w:r w:rsidRPr="00B13302">
              <w:rPr>
                <w:b w:val="0"/>
                <w:sz w:val="18"/>
                <w:szCs w:val="18"/>
              </w:rPr>
              <w:t>На подпрограмму</w:t>
            </w:r>
            <w:r w:rsidRPr="00B13302">
              <w:rPr>
                <w:sz w:val="18"/>
                <w:szCs w:val="18"/>
              </w:rPr>
              <w:t xml:space="preserve"> </w:t>
            </w:r>
            <w:r w:rsidRPr="00B13302">
              <w:rPr>
                <w:rStyle w:val="af2"/>
                <w:sz w:val="18"/>
                <w:szCs w:val="18"/>
              </w:rPr>
              <w:t xml:space="preserve">«Развитие отдельных направлений системы государственного управления Архангельской области» </w:t>
            </w:r>
            <w:r w:rsidRPr="00B13302">
              <w:rPr>
                <w:b w:val="0"/>
                <w:sz w:val="18"/>
                <w:szCs w:val="18"/>
              </w:rPr>
              <w:t>в 2018 году объемы финансового обеспечения увеличатся на 253,6 млн. рублей и составят 1152,3 млн. рублей (в 2017 году – 898,7 млн. рублей).</w:t>
            </w:r>
            <w:r w:rsidRPr="00B13302">
              <w:rPr>
                <w:rStyle w:val="23"/>
                <w:rFonts w:eastAsia="Courier New"/>
                <w:sz w:val="18"/>
                <w:szCs w:val="18"/>
              </w:rPr>
              <w:t xml:space="preserve"> </w:t>
            </w:r>
            <w:r w:rsidRPr="00B13302">
              <w:rPr>
                <w:rStyle w:val="23"/>
                <w:sz w:val="18"/>
                <w:szCs w:val="18"/>
              </w:rPr>
              <w:t>Бюджетные ассигнования в 2019 году учтены в размере  951,8 млн. рублей, в 2020 году – 941,8 млн. рублей.</w:t>
            </w:r>
          </w:p>
          <w:p w:rsidR="00B13302" w:rsidRPr="00B13302" w:rsidRDefault="00B13302" w:rsidP="00B13302">
            <w:pPr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B13302">
              <w:rPr>
                <w:sz w:val="18"/>
                <w:szCs w:val="18"/>
              </w:rPr>
              <w:t>В рамках данной подпрограммы в 2018 году предусмотрены ассигнования  на организацию деятельности мировых судей Архангельской области и работников их аппаратов в целях профессиональной переподготовки и повышения квалификации мировых судей Архангельской области, обеспечения деятельности мировых судей Архангельской области, агентства по организационному обеспечению деятельности мировых судей, обеспечения условий для функционирования судебных участков мировых судей Архангельской области в части расходов на услуги связи</w:t>
            </w:r>
            <w:proofErr w:type="gramEnd"/>
            <w:r w:rsidRPr="00B13302">
              <w:rPr>
                <w:sz w:val="18"/>
                <w:szCs w:val="18"/>
              </w:rPr>
              <w:t xml:space="preserve"> и содержание помещений 313, 345 млн. рублей, в частности, на расходы по обеспечению деятельности мировых судей 175 033,3 тыс. рублей. </w:t>
            </w:r>
            <w:proofErr w:type="gramStart"/>
            <w:r w:rsidRPr="00B13302">
              <w:rPr>
                <w:sz w:val="18"/>
                <w:szCs w:val="18"/>
              </w:rPr>
              <w:t xml:space="preserve">В 2017 году эти показатели составляли 283, 380 млн. рублей и 169056,9 тыс. рублей соответственно). </w:t>
            </w:r>
            <w:proofErr w:type="gramEnd"/>
          </w:p>
          <w:p w:rsidR="00B13302" w:rsidRPr="00B13302" w:rsidRDefault="00B13302" w:rsidP="00B13302">
            <w:pPr>
              <w:pStyle w:val="1"/>
              <w:shd w:val="clear" w:color="auto" w:fill="auto"/>
              <w:tabs>
                <w:tab w:val="left" w:pos="909"/>
              </w:tabs>
              <w:spacing w:before="0" w:line="240" w:lineRule="auto"/>
              <w:ind w:left="40" w:right="40" w:firstLine="669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>В 2018 году объем финансирования по данной статье сохранится и составит 284948,4 тыс. рублей, в 2019 году – 288050,4 тыс. рублей.</w:t>
            </w:r>
          </w:p>
          <w:p w:rsidR="00B13302" w:rsidRPr="00B13302" w:rsidRDefault="00B13302" w:rsidP="00B13302">
            <w:pPr>
              <w:pStyle w:val="1"/>
              <w:shd w:val="clear" w:color="auto" w:fill="auto"/>
              <w:spacing w:before="0" w:line="240" w:lineRule="auto"/>
              <w:ind w:left="20" w:right="60" w:firstLine="680"/>
              <w:rPr>
                <w:sz w:val="18"/>
                <w:szCs w:val="18"/>
              </w:rPr>
            </w:pPr>
            <w:r w:rsidRPr="00B13302">
              <w:rPr>
                <w:sz w:val="18"/>
                <w:szCs w:val="18"/>
              </w:rPr>
              <w:tab/>
              <w:t xml:space="preserve">Запланированный объем предоставляемых средств достаточен для выполнения органами исполнительной власти функций, предусмотренных по подразделу «Судебная система». </w:t>
            </w:r>
          </w:p>
          <w:p w:rsidR="00B13302" w:rsidRPr="00B13302" w:rsidRDefault="00B13302" w:rsidP="00B13302">
            <w:pPr>
              <w:pStyle w:val="1"/>
              <w:shd w:val="clear" w:color="auto" w:fill="auto"/>
              <w:spacing w:before="0" w:line="240" w:lineRule="auto"/>
              <w:ind w:left="20" w:right="60" w:firstLine="680"/>
              <w:rPr>
                <w:sz w:val="18"/>
                <w:szCs w:val="18"/>
              </w:rPr>
            </w:pPr>
            <w:proofErr w:type="gramStart"/>
            <w:r w:rsidRPr="00B13302">
              <w:rPr>
                <w:sz w:val="18"/>
                <w:szCs w:val="18"/>
              </w:rPr>
              <w:lastRenderedPageBreak/>
              <w:t>В связи с принятием Федеральных законов от 23 июня</w:t>
            </w:r>
            <w:r w:rsidRPr="00B13302" w:rsidDel="00391ED1">
              <w:rPr>
                <w:sz w:val="18"/>
                <w:szCs w:val="18"/>
              </w:rPr>
              <w:t xml:space="preserve"> </w:t>
            </w:r>
            <w:r w:rsidRPr="00B13302">
              <w:rPr>
                <w:sz w:val="18"/>
                <w:szCs w:val="18"/>
              </w:rPr>
              <w:t>2016 г. № 209–ФЗ «О внесении изменений в Федеральный закон «О присяжных заседателях федеральных судов общей юрисдикции в Российской Федерации» и № 190–ФЗ «О внесении изменений в Уголовно–процессуальный кодекс Российской Федерации в связи с расширением применения института присяжных заседателей», предусматривающих возможность рассмотрения дел, подсудных судам районного уровня, с участием присяжных заседателей, что потребует</w:t>
            </w:r>
            <w:proofErr w:type="gramEnd"/>
            <w:r w:rsidRPr="00B13302">
              <w:rPr>
                <w:sz w:val="18"/>
                <w:szCs w:val="18"/>
              </w:rPr>
              <w:t xml:space="preserve"> увеличения численности кандидатов в присяжные заседатели, а также составления новых списков кандидатов в присяжные заседатели, в 2018 году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предоставлены межбюджетные трансферты бюджетам муниципальных образований Архангельской области в размере 5619, 5 тыс. рублей.</w:t>
            </w:r>
          </w:p>
          <w:p w:rsidR="00B13302" w:rsidRPr="00B13302" w:rsidRDefault="00B13302" w:rsidP="00B13302">
            <w:pPr>
              <w:pStyle w:val="1"/>
              <w:shd w:val="clear" w:color="auto" w:fill="auto"/>
              <w:spacing w:before="0" w:line="240" w:lineRule="auto"/>
              <w:ind w:left="20" w:right="2" w:firstLine="720"/>
              <w:rPr>
                <w:sz w:val="20"/>
                <w:szCs w:val="20"/>
              </w:rPr>
            </w:pPr>
            <w:proofErr w:type="gramStart"/>
            <w:r w:rsidRPr="00B13302">
              <w:rPr>
                <w:sz w:val="18"/>
                <w:szCs w:val="18"/>
              </w:rPr>
              <w:t>На обеспечение деятельности ГКУ Архангельской области «Государственное юридическое бюро» в целях организации бесплатной юридической помощи, правового просвещения, правового информирования населения, организационного обеспечения развития государственной системы бесплатной юридической помощи на территории Архангельской области в 2018 году объем финансирования увеличен и составил 6800,2 тыс. рублей (в 2017 году 5585,9 тыс. рублей), что на 1214,3 тыс. рублей или 18% больше показателя прошлого года</w:t>
            </w:r>
            <w:proofErr w:type="gramEnd"/>
            <w:r w:rsidRPr="00B13302">
              <w:rPr>
                <w:sz w:val="18"/>
                <w:szCs w:val="18"/>
              </w:rPr>
              <w:t>. Запланированный объем выделяемых средств достаточен для функционирования ГКУ «</w:t>
            </w:r>
            <w:proofErr w:type="spellStart"/>
            <w:r w:rsidRPr="00B13302">
              <w:rPr>
                <w:sz w:val="18"/>
                <w:szCs w:val="18"/>
              </w:rPr>
              <w:t>Госюрбюро</w:t>
            </w:r>
            <w:proofErr w:type="spellEnd"/>
            <w:r w:rsidRPr="00B13302">
              <w:rPr>
                <w:sz w:val="18"/>
                <w:szCs w:val="1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967B31" w:rsidRDefault="00B13302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B13302" w:rsidRDefault="00B13302" w:rsidP="00B13302">
            <w:pPr>
              <w:jc w:val="both"/>
              <w:rPr>
                <w:sz w:val="18"/>
                <w:szCs w:val="18"/>
                <w:lang w:eastAsia="en-US"/>
              </w:rPr>
            </w:pPr>
            <w:r w:rsidRPr="00B13302">
              <w:rPr>
                <w:sz w:val="18"/>
                <w:szCs w:val="18"/>
              </w:rPr>
              <w:t>Рекомендовать депутатам областного Собрания принять проект областного закона «Об областном бюджете на 2018 год и плановый период 2019 и 2020 годов» в первом чтении на тридцать девятой сессии областного Собрания депутатов</w:t>
            </w:r>
          </w:p>
        </w:tc>
      </w:tr>
      <w:tr w:rsidR="00B13302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Default="00CA32E4" w:rsidP="00CA32E4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B1330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6C38C4" w:rsidRDefault="00B13302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18"/>
                <w:szCs w:val="18"/>
              </w:rPr>
            </w:pPr>
            <w:r w:rsidRPr="006C38C4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 xml:space="preserve">рассмотрении </w:t>
            </w:r>
            <w:r w:rsidRPr="006C38C4">
              <w:rPr>
                <w:sz w:val="18"/>
                <w:szCs w:val="18"/>
              </w:rPr>
              <w:t>ходатайств</w:t>
            </w:r>
            <w:r>
              <w:rPr>
                <w:sz w:val="18"/>
                <w:szCs w:val="18"/>
              </w:rPr>
              <w:t>а</w:t>
            </w:r>
            <w:r w:rsidRPr="006C38C4">
              <w:rPr>
                <w:sz w:val="18"/>
                <w:szCs w:val="18"/>
              </w:rPr>
              <w:t xml:space="preserve"> о награждении Почетной грамотой 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Default="00B13302" w:rsidP="003067B1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Pr="00B13302" w:rsidRDefault="00B13302" w:rsidP="006C38C4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2" w:rsidRDefault="00B13302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E4" w:rsidRPr="00CA32E4" w:rsidRDefault="00CA32E4" w:rsidP="00CA32E4">
            <w:pPr>
              <w:ind w:firstLine="720"/>
              <w:jc w:val="both"/>
              <w:rPr>
                <w:sz w:val="18"/>
                <w:szCs w:val="18"/>
              </w:rPr>
            </w:pPr>
            <w:r w:rsidRPr="00CA32E4">
              <w:rPr>
                <w:sz w:val="18"/>
                <w:szCs w:val="18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B13302" w:rsidRDefault="00CA32E4" w:rsidP="00CA32E4">
            <w:pPr>
              <w:ind w:firstLine="743"/>
              <w:jc w:val="both"/>
              <w:rPr>
                <w:sz w:val="18"/>
                <w:szCs w:val="18"/>
              </w:rPr>
            </w:pPr>
            <w:proofErr w:type="spellStart"/>
            <w:r w:rsidRPr="00CA32E4">
              <w:rPr>
                <w:sz w:val="18"/>
                <w:szCs w:val="18"/>
              </w:rPr>
              <w:t>Митенёву</w:t>
            </w:r>
            <w:proofErr w:type="spellEnd"/>
            <w:r w:rsidRPr="00CA32E4">
              <w:rPr>
                <w:sz w:val="18"/>
                <w:szCs w:val="18"/>
              </w:rPr>
              <w:t xml:space="preserve"> Татьяну Аркадьевну, младшего инспектора 2 категории отдела охраны федерального казенного учреждения «Следственный изолятор № 1 Управления Федеральной службы исполнения наказаний по Архангельской области», за многолетний эффективный труд, обеспечение законности, прав человека и гражданина и в связи с празднованием 200-летия со дня образования ФКУ СИЗО-1 УФСИН России по Архангельской области.</w:t>
            </w:r>
          </w:p>
          <w:p w:rsidR="0006286D" w:rsidRPr="0006286D" w:rsidRDefault="0006286D" w:rsidP="00CA32E4">
            <w:pPr>
              <w:ind w:firstLine="743"/>
              <w:jc w:val="both"/>
              <w:rPr>
                <w:sz w:val="18"/>
                <w:szCs w:val="18"/>
              </w:rPr>
            </w:pPr>
            <w:proofErr w:type="gramStart"/>
            <w:r w:rsidRPr="0006286D">
              <w:rPr>
                <w:sz w:val="18"/>
                <w:szCs w:val="18"/>
              </w:rPr>
              <w:t xml:space="preserve">Ходатайство о награждении Почетной грамотой Архангельского областного Собрания депутатов </w:t>
            </w:r>
            <w:proofErr w:type="spellStart"/>
            <w:r w:rsidRPr="0006286D">
              <w:rPr>
                <w:sz w:val="18"/>
                <w:szCs w:val="18"/>
              </w:rPr>
              <w:t>Лобанцева</w:t>
            </w:r>
            <w:proofErr w:type="spellEnd"/>
            <w:r w:rsidRPr="0006286D">
              <w:rPr>
                <w:sz w:val="18"/>
                <w:szCs w:val="18"/>
              </w:rPr>
              <w:t xml:space="preserve"> Дмитрия Станиславовича, начальника караула отдела охраны федерального казенного учреждения «Следственный изолятор № 1 Управления Федеральной службы исполнения наказаний по Архангельской области», </w:t>
            </w:r>
            <w:r w:rsidRPr="0006286D">
              <w:rPr>
                <w:rStyle w:val="FontStyle18"/>
                <w:sz w:val="18"/>
                <w:szCs w:val="18"/>
              </w:rPr>
              <w:t>отклонить</w:t>
            </w:r>
            <w:r w:rsidRPr="0006286D">
              <w:rPr>
                <w:rStyle w:val="FontStyle23"/>
                <w:sz w:val="18"/>
                <w:szCs w:val="18"/>
              </w:rPr>
              <w:t xml:space="preserve">, как </w:t>
            </w:r>
            <w:r w:rsidRPr="0006286D">
              <w:rPr>
                <w:rStyle w:val="FontStyle18"/>
                <w:sz w:val="18"/>
                <w:szCs w:val="18"/>
              </w:rPr>
              <w:t xml:space="preserve">не </w:t>
            </w:r>
            <w:r w:rsidRPr="0006286D">
              <w:rPr>
                <w:rStyle w:val="FontStyle23"/>
                <w:sz w:val="18"/>
                <w:szCs w:val="18"/>
              </w:rPr>
              <w:t xml:space="preserve">отвечающее требованиям пункта 17 </w:t>
            </w:r>
            <w:r w:rsidRPr="0006286D">
              <w:rPr>
                <w:sz w:val="18"/>
                <w:szCs w:val="18"/>
              </w:rPr>
              <w:t>Положения о наградах Архангельского областного Собрания депутатов</w:t>
            </w:r>
            <w:r w:rsidRPr="0006286D">
              <w:rPr>
                <w:rStyle w:val="FontStyle23"/>
                <w:sz w:val="18"/>
                <w:szCs w:val="18"/>
              </w:rPr>
              <w:t>, утвержденного постановлением областного Собрания депутатов от 24.06.2009 № 177.</w:t>
            </w:r>
            <w:proofErr w:type="gramEnd"/>
            <w:r w:rsidRPr="0006286D">
              <w:rPr>
                <w:rStyle w:val="FontStyle23"/>
                <w:sz w:val="18"/>
                <w:szCs w:val="18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t xml:space="preserve">              </w:t>
            </w:r>
            <w:proofErr w:type="spellStart"/>
            <w:r w:rsidRPr="0006286D">
              <w:rPr>
                <w:rStyle w:val="FontStyle23"/>
                <w:sz w:val="18"/>
                <w:szCs w:val="18"/>
              </w:rPr>
              <w:t>Лобанцев</w:t>
            </w:r>
            <w:proofErr w:type="spellEnd"/>
            <w:r w:rsidRPr="0006286D">
              <w:rPr>
                <w:rStyle w:val="FontStyle23"/>
                <w:sz w:val="18"/>
                <w:szCs w:val="18"/>
              </w:rPr>
              <w:t xml:space="preserve"> Д.С. в сентябре 2007 года был награжден </w:t>
            </w:r>
            <w:r w:rsidRPr="0006286D">
              <w:rPr>
                <w:sz w:val="18"/>
                <w:szCs w:val="18"/>
              </w:rPr>
              <w:t>Почетной грамотой Архангельского областного Собрания депутатов и не может быть представлен к награждению повторно.</w:t>
            </w:r>
          </w:p>
        </w:tc>
      </w:tr>
    </w:tbl>
    <w:p w:rsidR="002269E9" w:rsidRPr="00590000" w:rsidRDefault="002269E9">
      <w:pPr>
        <w:rPr>
          <w:sz w:val="18"/>
          <w:szCs w:val="18"/>
        </w:rPr>
      </w:pPr>
    </w:p>
    <w:sectPr w:rsidR="002269E9" w:rsidRPr="0059000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349B6"/>
    <w:multiLevelType w:val="multilevel"/>
    <w:tmpl w:val="49C69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3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6286D"/>
    <w:rsid w:val="0008342D"/>
    <w:rsid w:val="00092D02"/>
    <w:rsid w:val="0010312E"/>
    <w:rsid w:val="00103F47"/>
    <w:rsid w:val="00122F67"/>
    <w:rsid w:val="0013422F"/>
    <w:rsid w:val="00156EA2"/>
    <w:rsid w:val="00160DF4"/>
    <w:rsid w:val="0016281F"/>
    <w:rsid w:val="0018366B"/>
    <w:rsid w:val="00192B65"/>
    <w:rsid w:val="001D2628"/>
    <w:rsid w:val="001E58E5"/>
    <w:rsid w:val="00203125"/>
    <w:rsid w:val="0021395A"/>
    <w:rsid w:val="00214AB9"/>
    <w:rsid w:val="002269E9"/>
    <w:rsid w:val="00232630"/>
    <w:rsid w:val="002B0EE3"/>
    <w:rsid w:val="002D4AB6"/>
    <w:rsid w:val="003067B1"/>
    <w:rsid w:val="00313DEB"/>
    <w:rsid w:val="003216C5"/>
    <w:rsid w:val="003224FC"/>
    <w:rsid w:val="00343AA2"/>
    <w:rsid w:val="003440E9"/>
    <w:rsid w:val="00352DF8"/>
    <w:rsid w:val="003633A9"/>
    <w:rsid w:val="003A459D"/>
    <w:rsid w:val="003D49AB"/>
    <w:rsid w:val="00462CF3"/>
    <w:rsid w:val="004A1507"/>
    <w:rsid w:val="004A2C31"/>
    <w:rsid w:val="004A3EA5"/>
    <w:rsid w:val="004C2986"/>
    <w:rsid w:val="005027D3"/>
    <w:rsid w:val="00554277"/>
    <w:rsid w:val="00556708"/>
    <w:rsid w:val="00560129"/>
    <w:rsid w:val="00574E9B"/>
    <w:rsid w:val="00590000"/>
    <w:rsid w:val="0059730E"/>
    <w:rsid w:val="005A0A51"/>
    <w:rsid w:val="005C02AF"/>
    <w:rsid w:val="005C5FA4"/>
    <w:rsid w:val="005D5755"/>
    <w:rsid w:val="005E7446"/>
    <w:rsid w:val="005F0C60"/>
    <w:rsid w:val="0060018C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6C38C4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09CC"/>
    <w:rsid w:val="007E69CE"/>
    <w:rsid w:val="007F1195"/>
    <w:rsid w:val="007F5A1A"/>
    <w:rsid w:val="00803CD9"/>
    <w:rsid w:val="008151C9"/>
    <w:rsid w:val="00817A5C"/>
    <w:rsid w:val="0083304C"/>
    <w:rsid w:val="00871DE5"/>
    <w:rsid w:val="0087712E"/>
    <w:rsid w:val="00882E6F"/>
    <w:rsid w:val="00893A0B"/>
    <w:rsid w:val="008A7BA2"/>
    <w:rsid w:val="008B57FF"/>
    <w:rsid w:val="008B6784"/>
    <w:rsid w:val="008D63BA"/>
    <w:rsid w:val="008E15B0"/>
    <w:rsid w:val="008E72ED"/>
    <w:rsid w:val="008F0324"/>
    <w:rsid w:val="008F14BE"/>
    <w:rsid w:val="008F4993"/>
    <w:rsid w:val="009133C4"/>
    <w:rsid w:val="0091422C"/>
    <w:rsid w:val="0099316F"/>
    <w:rsid w:val="00996B44"/>
    <w:rsid w:val="00997740"/>
    <w:rsid w:val="009A48A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5379"/>
    <w:rsid w:val="00AD772B"/>
    <w:rsid w:val="00B13302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32E4"/>
    <w:rsid w:val="00CA48EC"/>
    <w:rsid w:val="00CB2185"/>
    <w:rsid w:val="00D04ED0"/>
    <w:rsid w:val="00D5741E"/>
    <w:rsid w:val="00D867B0"/>
    <w:rsid w:val="00D923DF"/>
    <w:rsid w:val="00D96066"/>
    <w:rsid w:val="00DA566C"/>
    <w:rsid w:val="00DB0647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245FA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  <w:style w:type="character" w:customStyle="1" w:styleId="21">
    <w:name w:val="Основной текст (2)_"/>
    <w:basedOn w:val="a0"/>
    <w:link w:val="22"/>
    <w:rsid w:val="00B1330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f2">
    <w:name w:val="Основной текст + Полужирный"/>
    <w:basedOn w:val="a5"/>
    <w:rsid w:val="00B13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 (2) + Не полужирный"/>
    <w:basedOn w:val="21"/>
    <w:rsid w:val="00B13302"/>
    <w:rPr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B1330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FontStyle18">
    <w:name w:val="Font Style18"/>
    <w:basedOn w:val="a0"/>
    <w:rsid w:val="0006286D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0628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712F-DF07-493F-AAC0-B141F905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2017-11-03T09:51:00Z</dcterms:created>
  <dcterms:modified xsi:type="dcterms:W3CDTF">2017-11-10T07:53:00Z</dcterms:modified>
</cp:coreProperties>
</file>