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8B6784">
        <w:rPr>
          <w:b/>
          <w:sz w:val="24"/>
          <w:szCs w:val="24"/>
        </w:rPr>
        <w:t>11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8B6784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8B6784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996B44"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867B0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996B4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996B44">
              <w:rPr>
                <w:b/>
                <w:sz w:val="20"/>
                <w:lang w:eastAsia="en-US"/>
              </w:rPr>
              <w:t>7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A48E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232630" w:rsidRDefault="00CA48EC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3263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9A48A0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967B31">
              <w:rPr>
                <w:bCs/>
                <w:sz w:val="18"/>
                <w:szCs w:val="18"/>
              </w:rPr>
              <w:t>О рекомендации для назначения на должност</w:t>
            </w:r>
            <w:r w:rsidR="009A48A0">
              <w:rPr>
                <w:bCs/>
                <w:sz w:val="18"/>
                <w:szCs w:val="18"/>
              </w:rPr>
              <w:t>ь</w:t>
            </w:r>
            <w:r w:rsidRPr="00967B31">
              <w:rPr>
                <w:bCs/>
                <w:sz w:val="18"/>
                <w:szCs w:val="18"/>
              </w:rPr>
              <w:t xml:space="preserve"> </w:t>
            </w:r>
            <w:r w:rsidRPr="009E41BE">
              <w:rPr>
                <w:bCs/>
                <w:sz w:val="18"/>
                <w:szCs w:val="18"/>
              </w:rPr>
              <w:t>миров</w:t>
            </w:r>
            <w:r w:rsidR="009A48A0">
              <w:rPr>
                <w:bCs/>
                <w:sz w:val="18"/>
                <w:szCs w:val="18"/>
              </w:rPr>
              <w:t>ого</w:t>
            </w:r>
            <w:r w:rsidRPr="009E41BE">
              <w:rPr>
                <w:bCs/>
                <w:sz w:val="18"/>
                <w:szCs w:val="18"/>
              </w:rPr>
              <w:t xml:space="preserve"> суд</w:t>
            </w:r>
            <w:r w:rsidR="009A48A0">
              <w:rPr>
                <w:bCs/>
                <w:sz w:val="18"/>
                <w:szCs w:val="18"/>
              </w:rPr>
              <w:t>ьи</w:t>
            </w:r>
            <w:r w:rsidRPr="009E41BE">
              <w:rPr>
                <w:bCs/>
                <w:sz w:val="18"/>
                <w:szCs w:val="18"/>
              </w:rPr>
              <w:t xml:space="preserve"> Архангельской области</w:t>
            </w:r>
            <w:r w:rsidR="009E41BE" w:rsidRPr="009E41B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03335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</w:t>
            </w:r>
            <w:r w:rsidR="009133C4">
              <w:rPr>
                <w:sz w:val="18"/>
                <w:szCs w:val="18"/>
              </w:rPr>
              <w:t>заместитель</w:t>
            </w:r>
            <w:r w:rsidR="00D867B0">
              <w:rPr>
                <w:sz w:val="18"/>
                <w:szCs w:val="18"/>
              </w:rPr>
              <w:t xml:space="preserve"> </w:t>
            </w:r>
            <w:r w:rsidR="002D4AB6">
              <w:rPr>
                <w:sz w:val="18"/>
                <w:szCs w:val="18"/>
              </w:rPr>
              <w:t>председателя</w:t>
            </w:r>
            <w:r w:rsidR="009E41BE">
              <w:rPr>
                <w:sz w:val="18"/>
                <w:szCs w:val="18"/>
              </w:rPr>
              <w:t xml:space="preserve"> </w:t>
            </w:r>
            <w:r w:rsidR="00CA48EC"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CA48EC" w:rsidRDefault="006C38C4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А.В. </w:t>
            </w:r>
            <w:proofErr w:type="spellStart"/>
            <w:r>
              <w:rPr>
                <w:sz w:val="18"/>
                <w:szCs w:val="18"/>
              </w:rPr>
              <w:t>Старопопов</w:t>
            </w:r>
            <w:proofErr w:type="spellEnd"/>
          </w:p>
          <w:p w:rsidR="00D867B0" w:rsidRPr="00967B31" w:rsidRDefault="00D867B0" w:rsidP="007F61CD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C4" w:rsidRPr="009133C4" w:rsidRDefault="00CA48EC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E525F7">
              <w:rPr>
                <w:sz w:val="18"/>
                <w:szCs w:val="18"/>
              </w:rPr>
              <w:t xml:space="preserve">О </w:t>
            </w:r>
            <w:r w:rsidRPr="00D867B0">
              <w:rPr>
                <w:sz w:val="18"/>
                <w:szCs w:val="18"/>
              </w:rPr>
              <w:t>рекомендации для назначения на должност</w:t>
            </w:r>
            <w:r w:rsidR="009A48A0" w:rsidRPr="00D867B0">
              <w:rPr>
                <w:sz w:val="18"/>
                <w:szCs w:val="18"/>
              </w:rPr>
              <w:t>ь</w:t>
            </w:r>
            <w:r w:rsidRPr="00D867B0">
              <w:rPr>
                <w:sz w:val="18"/>
                <w:szCs w:val="18"/>
              </w:rPr>
              <w:t xml:space="preserve"> миров</w:t>
            </w:r>
            <w:r w:rsidR="009A48A0" w:rsidRPr="00D867B0">
              <w:rPr>
                <w:sz w:val="18"/>
                <w:szCs w:val="18"/>
              </w:rPr>
              <w:t>ого</w:t>
            </w:r>
            <w:r w:rsidRPr="00D867B0">
              <w:rPr>
                <w:sz w:val="18"/>
                <w:szCs w:val="18"/>
              </w:rPr>
              <w:t xml:space="preserve"> суд</w:t>
            </w:r>
            <w:r w:rsidR="009A48A0" w:rsidRPr="00D867B0">
              <w:rPr>
                <w:sz w:val="18"/>
                <w:szCs w:val="18"/>
              </w:rPr>
              <w:t xml:space="preserve">ьи судебного участка </w:t>
            </w:r>
            <w:r w:rsidR="009133C4" w:rsidRPr="009133C4">
              <w:rPr>
                <w:sz w:val="18"/>
                <w:szCs w:val="18"/>
              </w:rPr>
              <w:t>№ 8 Северодвинского судебного района Архангельской области Павловой Т.Н. на 3-летний срок полномочий.</w:t>
            </w:r>
          </w:p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 xml:space="preserve">О рекомендации для назначения на должность мирового судьи судебного участка № 1 Онежского судебного района Архангельской области </w:t>
            </w:r>
            <w:proofErr w:type="spellStart"/>
            <w:r w:rsidRPr="009133C4">
              <w:rPr>
                <w:sz w:val="18"/>
                <w:szCs w:val="18"/>
              </w:rPr>
              <w:t>Дейнекиной</w:t>
            </w:r>
            <w:proofErr w:type="spellEnd"/>
            <w:r w:rsidRPr="009133C4">
              <w:rPr>
                <w:sz w:val="18"/>
                <w:szCs w:val="18"/>
              </w:rPr>
              <w:t xml:space="preserve"> Е.Г. на 5-летний срок полномочий.</w:t>
            </w:r>
          </w:p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О рекомендации для назначения на должность мирового судьи судебного участка № 1 Вельского судебного района Архангельской области Кузнецовой Н.Н. на 5-летний срок полномочий.</w:t>
            </w:r>
          </w:p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 xml:space="preserve">О рекомендации для назначения на должность мирового судьи судебного участка № 3 Ломоносовского судебного района </w:t>
            </w:r>
            <w:proofErr w:type="gramStart"/>
            <w:r w:rsidRPr="009133C4">
              <w:rPr>
                <w:sz w:val="18"/>
                <w:szCs w:val="18"/>
              </w:rPr>
              <w:t>г</w:t>
            </w:r>
            <w:proofErr w:type="gramEnd"/>
            <w:r w:rsidRPr="009133C4">
              <w:rPr>
                <w:sz w:val="18"/>
                <w:szCs w:val="18"/>
              </w:rPr>
              <w:t>. Архангельска Романова И.В. на 5-летний срок полномочий.</w:t>
            </w:r>
          </w:p>
          <w:p w:rsidR="00E525F7" w:rsidRPr="009133C4" w:rsidRDefault="009133C4" w:rsidP="009133C4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lastRenderedPageBreak/>
              <w:t xml:space="preserve">О рекомендации находящегося в отставке судью Сорокина В.Н. для привлечения к исполнению обязанностей мирового судьи судебного участка № 2 Ломоносовского судебного района </w:t>
            </w:r>
            <w:proofErr w:type="gramStart"/>
            <w:r w:rsidRPr="009133C4">
              <w:rPr>
                <w:sz w:val="18"/>
                <w:szCs w:val="18"/>
              </w:rPr>
              <w:t>г</w:t>
            </w:r>
            <w:proofErr w:type="gramEnd"/>
            <w:r w:rsidRPr="009133C4">
              <w:rPr>
                <w:sz w:val="18"/>
                <w:szCs w:val="18"/>
              </w:rPr>
              <w:t>. Архангельска сроком до одного года</w:t>
            </w:r>
            <w:r w:rsidR="009A48A0" w:rsidRPr="009133C4">
              <w:rPr>
                <w:sz w:val="18"/>
                <w:szCs w:val="18"/>
              </w:rPr>
              <w:t>.</w:t>
            </w:r>
          </w:p>
          <w:p w:rsidR="00C816FB" w:rsidRPr="00E525F7" w:rsidRDefault="00C816FB" w:rsidP="009A48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EC" w:rsidRPr="00967B31" w:rsidRDefault="00CA48EC" w:rsidP="007F61C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967B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Рекомендовать для назначения на должность мирового судьи судебного участка № 8 Северодвинского судебного района Архангельской области Павлову Татьяну Николаевну на 3-летний срок полномочий.</w:t>
            </w:r>
          </w:p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1 Онежского судебного района Архангельской области </w:t>
            </w:r>
            <w:proofErr w:type="spellStart"/>
            <w:r w:rsidRPr="009133C4">
              <w:rPr>
                <w:sz w:val="18"/>
                <w:szCs w:val="18"/>
              </w:rPr>
              <w:t>Дейнекину</w:t>
            </w:r>
            <w:proofErr w:type="spellEnd"/>
            <w:r w:rsidRPr="009133C4">
              <w:rPr>
                <w:sz w:val="18"/>
                <w:szCs w:val="18"/>
              </w:rPr>
              <w:t xml:space="preserve"> Елену Геннадьевну на 5-летний срок полномочий.</w:t>
            </w:r>
          </w:p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>Рекомендовать для назначения на должность мирового судьи судебного участка № 1 Вельского судебного района Архангельской области Кузнецову Наталию Николаевну на 5-летний срок полномочий.</w:t>
            </w:r>
          </w:p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3 Ломоносовского судебного района </w:t>
            </w:r>
            <w:proofErr w:type="gramStart"/>
            <w:r w:rsidRPr="009133C4">
              <w:rPr>
                <w:sz w:val="18"/>
                <w:szCs w:val="18"/>
              </w:rPr>
              <w:t>г</w:t>
            </w:r>
            <w:proofErr w:type="gramEnd"/>
            <w:r w:rsidRPr="009133C4">
              <w:rPr>
                <w:sz w:val="18"/>
                <w:szCs w:val="18"/>
              </w:rPr>
              <w:t>. Архангельска Романова Ивана Васильевича на 5-летний срок полномочий.</w:t>
            </w:r>
          </w:p>
          <w:p w:rsidR="009133C4" w:rsidRPr="009133C4" w:rsidRDefault="009133C4" w:rsidP="009133C4">
            <w:pPr>
              <w:ind w:firstLine="708"/>
              <w:jc w:val="both"/>
              <w:rPr>
                <w:sz w:val="18"/>
                <w:szCs w:val="18"/>
              </w:rPr>
            </w:pPr>
            <w:r w:rsidRPr="009133C4">
              <w:rPr>
                <w:sz w:val="18"/>
                <w:szCs w:val="18"/>
              </w:rPr>
              <w:t xml:space="preserve">Рекомендовать находящегося в отставке судью Сорокина Василия Николаевича для привлечения к исполнению обязанностей мирового судьи судебного участка № 2 Ломоносовского судебного района </w:t>
            </w:r>
            <w:proofErr w:type="gramStart"/>
            <w:r w:rsidRPr="009133C4">
              <w:rPr>
                <w:sz w:val="18"/>
                <w:szCs w:val="18"/>
              </w:rPr>
              <w:t>г</w:t>
            </w:r>
            <w:proofErr w:type="gramEnd"/>
            <w:r w:rsidRPr="009133C4">
              <w:rPr>
                <w:sz w:val="18"/>
                <w:szCs w:val="18"/>
              </w:rPr>
              <w:t>. Архангельска сроком до одного года.</w:t>
            </w:r>
          </w:p>
          <w:p w:rsidR="00C816FB" w:rsidRPr="002D4AB6" w:rsidRDefault="00C816FB" w:rsidP="002D4AB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0018C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Default="008B57FF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60018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Pr="00D867B0" w:rsidRDefault="0060018C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проекте областного закона </w:t>
            </w:r>
            <w:r w:rsidRPr="0060018C">
              <w:rPr>
                <w:bCs/>
                <w:sz w:val="18"/>
                <w:szCs w:val="18"/>
              </w:rPr>
              <w:t>«О внесении изменений в</w:t>
            </w:r>
            <w:r w:rsidRPr="0060018C">
              <w:rPr>
                <w:sz w:val="18"/>
                <w:szCs w:val="18"/>
              </w:rPr>
              <w:t xml:space="preserve"> областной закон «О порядке разработки, принятия и вступления в силу законов Архангельской области»</w:t>
            </w:r>
            <w:r w:rsidR="008B57FF">
              <w:rPr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Default="0060018C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Законопроектом предусмотрены следующие изменения:</w:t>
            </w:r>
          </w:p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Проектом предусмотрены следующие изменения:</w:t>
            </w:r>
          </w:p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1) уточнен предмет регулирования Областного закона (статья 1 Областного закона);</w:t>
            </w:r>
          </w:p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2) скорректированы основные понятия, применяемые в Областном законе (статья 2 Областного закона);</w:t>
            </w:r>
          </w:p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bCs/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3) уточнены этапы законопроектной деятельности (статья 6 Областного закона);</w:t>
            </w:r>
          </w:p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4) уточнены общие требования к областным законам (статья 8 Областного закона);</w:t>
            </w:r>
          </w:p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5) уточнена процедура предварительного рассмотрения законопроектов (статья 15 Областного закона);</w:t>
            </w:r>
          </w:p>
          <w:p w:rsidR="0060018C" w:rsidRP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6) терминология процедуры подготовки законопроекта к рассмотрению во втором чтении приведена в соответствие с законодательством Российской Федерации (статья 19 Областного закона);</w:t>
            </w:r>
          </w:p>
          <w:p w:rsidR="0060018C" w:rsidRDefault="0060018C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>7) проведена юридико-техническая и редакционная правка по всему тексту Областного закона.</w:t>
            </w:r>
          </w:p>
          <w:p w:rsidR="008B57FF" w:rsidRPr="008B57FF" w:rsidRDefault="008B57FF" w:rsidP="008B57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57FF">
              <w:rPr>
                <w:rFonts w:ascii="Times New Roman" w:hAnsi="Times New Roman" w:cs="Times New Roman"/>
                <w:sz w:val="18"/>
                <w:szCs w:val="18"/>
              </w:rPr>
              <w:t>К законопроекту поступили 4 поправки: 1 поправка редакционно-технического характера депутата областного Собрания С.А. Второго (поправка № 4 согласована комитетом) и 3 поправки депутата областного Собрания В.С. Петрова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отклонены</w:t>
            </w:r>
            <w:r w:rsidRPr="008B57F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B57FF" w:rsidRPr="0060018C" w:rsidRDefault="008B57FF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</w:p>
          <w:p w:rsidR="0060018C" w:rsidRDefault="0060018C" w:rsidP="006001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Default="0060018C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Pr="0060018C" w:rsidRDefault="0060018C" w:rsidP="0060018C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 xml:space="preserve">Рекомендовать депутатам </w:t>
            </w:r>
            <w:r w:rsidR="008B57FF" w:rsidRPr="008B57FF">
              <w:rPr>
                <w:sz w:val="18"/>
                <w:szCs w:val="18"/>
              </w:rPr>
              <w:t>рассмотреть законопроект и принять закон во втором чтении</w:t>
            </w:r>
            <w:r w:rsidRPr="008B57FF">
              <w:rPr>
                <w:sz w:val="18"/>
                <w:szCs w:val="18"/>
              </w:rPr>
              <w:t>.</w:t>
            </w:r>
          </w:p>
        </w:tc>
      </w:tr>
      <w:tr w:rsidR="008B57FF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Default="008B57FF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Pr="008B57FF" w:rsidRDefault="008B57FF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8B57FF">
              <w:rPr>
                <w:sz w:val="18"/>
                <w:szCs w:val="18"/>
              </w:rPr>
              <w:t>О проекте областного закона «О внесении изменений в статью 1.2 областного закона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      </w:r>
            <w:r>
              <w:rPr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Default="008B57FF" w:rsidP="003067B1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Pr="006C38C4" w:rsidRDefault="008B57FF" w:rsidP="008B57FF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proofErr w:type="gramStart"/>
            <w:r>
              <w:rPr>
                <w:rStyle w:val="FontStyle13"/>
                <w:sz w:val="18"/>
                <w:szCs w:val="18"/>
              </w:rPr>
              <w:t>З</w:t>
            </w:r>
            <w:r w:rsidRPr="006C38C4">
              <w:rPr>
                <w:rStyle w:val="FontStyle13"/>
                <w:sz w:val="18"/>
                <w:szCs w:val="18"/>
              </w:rPr>
              <w:t xml:space="preserve">аконопроектом </w:t>
            </w:r>
            <w:r w:rsidRPr="006C38C4">
              <w:rPr>
                <w:rFonts w:eastAsia="HiddenHorzOCR"/>
                <w:sz w:val="18"/>
                <w:szCs w:val="18"/>
              </w:rPr>
              <w:t>предлагается внести изменения в пункт 2.1 статьи 1.2 областного закона от 23 сентября 2004 года № 259-внеоч.-03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исключив из него указания на возможность исполнения главой сельского поселения, избранным представительным органом сельского поселения из числа кандидатов, представленных конкурсной комиссией по результатам конкурса по отбору кандидатур</w:t>
            </w:r>
            <w:proofErr w:type="gramEnd"/>
            <w:r w:rsidRPr="006C38C4">
              <w:rPr>
                <w:rFonts w:eastAsia="HiddenHorzOCR"/>
                <w:sz w:val="18"/>
                <w:szCs w:val="18"/>
              </w:rPr>
              <w:t xml:space="preserve"> на должность главы сельского поселения, в случае, предусмотренном частью 3 статьи 36 Закона № 131-ФЗ, полномочий председателя представительного органа сельского поселения.</w:t>
            </w:r>
          </w:p>
          <w:p w:rsidR="008B57FF" w:rsidRPr="008B57FF" w:rsidRDefault="008B57FF" w:rsidP="008B57FF">
            <w:pPr>
              <w:jc w:val="both"/>
              <w:rPr>
                <w:sz w:val="18"/>
                <w:szCs w:val="18"/>
              </w:rPr>
            </w:pPr>
            <w:r w:rsidRPr="008B57FF">
              <w:rPr>
                <w:sz w:val="18"/>
                <w:szCs w:val="18"/>
              </w:rPr>
              <w:t xml:space="preserve">К законопроекту поступили две поправки: одна поправка исполняющего обязанности Губернатора Архангельской области А.В </w:t>
            </w:r>
            <w:proofErr w:type="spellStart"/>
            <w:r w:rsidRPr="008B57FF">
              <w:rPr>
                <w:sz w:val="18"/>
                <w:szCs w:val="18"/>
              </w:rPr>
              <w:t>Алсуфь</w:t>
            </w:r>
            <w:r w:rsidRPr="008B57FF">
              <w:rPr>
                <w:sz w:val="18"/>
                <w:szCs w:val="18"/>
              </w:rPr>
              <w:t>е</w:t>
            </w:r>
            <w:r w:rsidRPr="008B57FF">
              <w:rPr>
                <w:sz w:val="18"/>
                <w:szCs w:val="18"/>
              </w:rPr>
              <w:t>ва</w:t>
            </w:r>
            <w:proofErr w:type="spellEnd"/>
            <w:r w:rsidRPr="008B57FF">
              <w:rPr>
                <w:sz w:val="18"/>
                <w:szCs w:val="18"/>
              </w:rPr>
              <w:t>, предусматривающая переходные положения вступления закона в силу, и редакционно-техническая поправка прокуратуры Архангельской области.</w:t>
            </w:r>
            <w:r>
              <w:rPr>
                <w:sz w:val="18"/>
                <w:szCs w:val="18"/>
              </w:rPr>
              <w:t xml:space="preserve"> </w:t>
            </w:r>
            <w:r w:rsidRPr="008B57FF">
              <w:rPr>
                <w:sz w:val="18"/>
                <w:szCs w:val="18"/>
              </w:rPr>
              <w:t>Обе поправки комитетом согласованы.</w:t>
            </w:r>
          </w:p>
          <w:p w:rsidR="008B57FF" w:rsidRPr="0060018C" w:rsidRDefault="008B57FF" w:rsidP="0060018C">
            <w:pPr>
              <w:pStyle w:val="ad"/>
              <w:spacing w:after="0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Default="008B57FF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FF" w:rsidRPr="0060018C" w:rsidRDefault="008B57FF" w:rsidP="0060018C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60018C">
              <w:rPr>
                <w:sz w:val="18"/>
                <w:szCs w:val="18"/>
              </w:rPr>
              <w:t xml:space="preserve">Рекомендовать депутатам </w:t>
            </w:r>
            <w:r w:rsidRPr="008B57FF">
              <w:rPr>
                <w:sz w:val="18"/>
                <w:szCs w:val="18"/>
              </w:rPr>
              <w:t>рассмотреть законопроект и принять закон во втором чтении.</w:t>
            </w:r>
          </w:p>
        </w:tc>
      </w:tr>
      <w:tr w:rsidR="00554277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554277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О проекте областного закона «О внесении изменений в отдельные областные законы и о признании </w:t>
            </w:r>
            <w:proofErr w:type="gramStart"/>
            <w:r w:rsidRPr="00554277">
              <w:rPr>
                <w:sz w:val="18"/>
                <w:szCs w:val="18"/>
              </w:rPr>
              <w:t>утратившими</w:t>
            </w:r>
            <w:proofErr w:type="gramEnd"/>
            <w:r w:rsidRPr="00554277">
              <w:rPr>
                <w:sz w:val="18"/>
                <w:szCs w:val="18"/>
              </w:rPr>
              <w:t xml:space="preserve"> силу отдельных положений областных законов по вопросам противодействия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55427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>Губернатор Архангельской области И.А. Орлов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554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554277">
              <w:rPr>
                <w:sz w:val="18"/>
                <w:szCs w:val="18"/>
              </w:rPr>
              <w:t>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внесены изменения в пункт 2 части 3 статьи 12.1 Федерального закона от 25 декабря 2008 года № 273-ФЗ «О противодействии коррупции», пункт 3 части 1 статьи 14 Федерального закона от 02 марта 2007 года № 25-ФЗ</w:t>
            </w:r>
            <w:proofErr w:type="gramEnd"/>
            <w:r w:rsidRPr="00554277">
              <w:rPr>
                <w:sz w:val="18"/>
                <w:szCs w:val="18"/>
              </w:rPr>
              <w:t xml:space="preserve"> «О муниципальной службе в Российской Федерации» и пункт 2 части 7                 статьи 40 Федерального закона «Об общих принципах организации </w:t>
            </w:r>
            <w:r w:rsidRPr="00554277">
              <w:rPr>
                <w:sz w:val="18"/>
                <w:szCs w:val="18"/>
              </w:rPr>
              <w:lastRenderedPageBreak/>
              <w:t>местного самоуправления в Российской Федерации», уточняющие формулировки запретов лиц, замещающих государственные должности субъектов Российской Федерации, муниципальные должности, осуществляющих свои полномочия на постоянной основе, и должности муниципальной службы.</w:t>
            </w:r>
          </w:p>
          <w:p w:rsidR="00554277" w:rsidRPr="00554277" w:rsidRDefault="00554277" w:rsidP="00554277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54277">
              <w:rPr>
                <w:sz w:val="18"/>
                <w:szCs w:val="18"/>
              </w:rPr>
              <w:t>Также указанным федеральным законом внесены изменения в Федеральный закон от 12 июня 2002 года № 67-ФЗ «Об основных гарантиях избирательных прав и права на участие в референдуме граждан Российской Федерации», Федеральный закон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предусматривающие определенный круг запретов, ограничений и обязанностей к членам</w:t>
            </w:r>
            <w:proofErr w:type="gramEnd"/>
            <w:r w:rsidRPr="00554277">
              <w:rPr>
                <w:sz w:val="18"/>
                <w:szCs w:val="18"/>
              </w:rPr>
              <w:t xml:space="preserve"> избирательной комиссии и контрольно-счетной палаты субъекта Российской Федерации. В </w:t>
            </w:r>
            <w:proofErr w:type="gramStart"/>
            <w:r w:rsidRPr="00554277">
              <w:rPr>
                <w:sz w:val="18"/>
                <w:szCs w:val="18"/>
              </w:rPr>
              <w:t>связи</w:t>
            </w:r>
            <w:proofErr w:type="gramEnd"/>
            <w:r w:rsidRPr="00554277">
              <w:rPr>
                <w:sz w:val="18"/>
                <w:szCs w:val="18"/>
              </w:rPr>
              <w:t xml:space="preserve"> с чем </w:t>
            </w:r>
            <w:r w:rsidRPr="00554277">
              <w:rPr>
                <w:rFonts w:eastAsia="Calibri"/>
                <w:sz w:val="18"/>
                <w:szCs w:val="18"/>
                <w:lang w:eastAsia="en-US"/>
              </w:rPr>
              <w:t>законопроектом предлагается внести изменения в областные законы: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05 </w:t>
            </w:r>
            <w:r w:rsidRPr="00554277">
              <w:rPr>
                <w:rFonts w:eastAsia="HiddenHorzOCR"/>
                <w:sz w:val="18"/>
                <w:szCs w:val="18"/>
              </w:rPr>
              <w:t xml:space="preserve">марта </w:t>
            </w:r>
            <w:r w:rsidRPr="00554277">
              <w:rPr>
                <w:sz w:val="18"/>
                <w:szCs w:val="18"/>
              </w:rPr>
              <w:t xml:space="preserve">1999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113-21-ОЗ </w:t>
            </w:r>
            <w:r w:rsidRPr="00554277">
              <w:rPr>
                <w:rFonts w:eastAsia="HiddenHorzOCR"/>
                <w:sz w:val="18"/>
                <w:szCs w:val="18"/>
              </w:rPr>
              <w:t>«Об избирательной комиссии Архангельской области»;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15 </w:t>
            </w:r>
            <w:r w:rsidRPr="00554277">
              <w:rPr>
                <w:rFonts w:eastAsia="HiddenHorzOCR"/>
                <w:sz w:val="18"/>
                <w:szCs w:val="18"/>
              </w:rPr>
              <w:t xml:space="preserve">июля </w:t>
            </w:r>
            <w:r w:rsidRPr="00554277">
              <w:rPr>
                <w:sz w:val="18"/>
                <w:szCs w:val="18"/>
              </w:rPr>
              <w:t xml:space="preserve">2003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184-23-ОЗ </w:t>
            </w:r>
            <w:r w:rsidRPr="00554277">
              <w:rPr>
                <w:rFonts w:eastAsia="HiddenHorzOCR"/>
                <w:sz w:val="18"/>
                <w:szCs w:val="18"/>
              </w:rPr>
              <w:t>«О референдуме Архангельской области»;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08 </w:t>
            </w:r>
            <w:r w:rsidRPr="00554277">
              <w:rPr>
                <w:rFonts w:eastAsia="HiddenHorzOCR"/>
                <w:sz w:val="18"/>
                <w:szCs w:val="18"/>
              </w:rPr>
              <w:t xml:space="preserve">ноября </w:t>
            </w:r>
            <w:r w:rsidRPr="00554277">
              <w:rPr>
                <w:sz w:val="18"/>
                <w:szCs w:val="18"/>
              </w:rPr>
              <w:t xml:space="preserve">2006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268-13-ОЗ </w:t>
            </w:r>
            <w:r w:rsidRPr="00554277">
              <w:rPr>
                <w:rFonts w:eastAsia="HiddenHorzOCR"/>
                <w:sz w:val="18"/>
                <w:szCs w:val="18"/>
              </w:rPr>
              <w:t>«О выборах в органы местного самоуправления в Архангельской области»;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20 </w:t>
            </w:r>
            <w:r w:rsidRPr="00554277">
              <w:rPr>
                <w:rFonts w:eastAsia="HiddenHorzOCR"/>
                <w:sz w:val="18"/>
                <w:szCs w:val="18"/>
              </w:rPr>
              <w:t xml:space="preserve">мая </w:t>
            </w:r>
            <w:r w:rsidRPr="00554277">
              <w:rPr>
                <w:sz w:val="18"/>
                <w:szCs w:val="18"/>
              </w:rPr>
              <w:t xml:space="preserve">2009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30-3-ОЗ </w:t>
            </w:r>
            <w:r w:rsidRPr="00554277">
              <w:rPr>
                <w:rFonts w:eastAsia="HiddenHorzOCR"/>
                <w:sz w:val="18"/>
                <w:szCs w:val="18"/>
              </w:rPr>
              <w:t>«О статусе лиц, замещающих государственные должности Архангельской области в исполнительных органах государственной власти Архангельской области»;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- </w:t>
            </w:r>
            <w:r w:rsidRPr="00554277">
              <w:rPr>
                <w:rFonts w:eastAsia="HiddenHorzOCR"/>
                <w:sz w:val="18"/>
                <w:szCs w:val="18"/>
              </w:rPr>
              <w:t xml:space="preserve">от </w:t>
            </w:r>
            <w:r w:rsidRPr="00554277">
              <w:rPr>
                <w:sz w:val="18"/>
                <w:szCs w:val="18"/>
              </w:rPr>
              <w:t xml:space="preserve">30 </w:t>
            </w:r>
            <w:r w:rsidRPr="00554277">
              <w:rPr>
                <w:rFonts w:eastAsia="HiddenHorzOCR"/>
                <w:sz w:val="18"/>
                <w:szCs w:val="18"/>
              </w:rPr>
              <w:t xml:space="preserve">мая </w:t>
            </w:r>
            <w:r w:rsidRPr="00554277">
              <w:rPr>
                <w:sz w:val="18"/>
                <w:szCs w:val="18"/>
              </w:rPr>
              <w:t xml:space="preserve">2011 </w:t>
            </w:r>
            <w:r w:rsidRPr="00554277">
              <w:rPr>
                <w:rFonts w:eastAsia="HiddenHorzOCR"/>
                <w:sz w:val="18"/>
                <w:szCs w:val="18"/>
              </w:rPr>
              <w:t xml:space="preserve">года № </w:t>
            </w:r>
            <w:r w:rsidRPr="00554277">
              <w:rPr>
                <w:sz w:val="18"/>
                <w:szCs w:val="18"/>
              </w:rPr>
              <w:t xml:space="preserve">288-22-ОЗ </w:t>
            </w:r>
            <w:r w:rsidRPr="00554277">
              <w:rPr>
                <w:rFonts w:eastAsia="HiddenHorzOCR"/>
                <w:sz w:val="18"/>
                <w:szCs w:val="18"/>
              </w:rPr>
              <w:t xml:space="preserve">«О контрольно-счетной палате Архангельской области», связанные с приведением отдельных положений </w:t>
            </w:r>
            <w:r w:rsidRPr="00554277">
              <w:rPr>
                <w:rFonts w:eastAsia="HiddenHorzOCR"/>
                <w:sz w:val="18"/>
                <w:szCs w:val="18"/>
              </w:rPr>
              <w:lastRenderedPageBreak/>
              <w:t>указанных областных законов в соответствие с законодательством Российской Федерации.</w:t>
            </w:r>
          </w:p>
          <w:p w:rsidR="00554277" w:rsidRPr="00554277" w:rsidRDefault="00554277" w:rsidP="00554277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554277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60018C" w:rsidRDefault="00554277" w:rsidP="00554277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554277">
              <w:rPr>
                <w:sz w:val="18"/>
                <w:szCs w:val="18"/>
              </w:rPr>
              <w:t>принять проект областного закона в первом чтении</w:t>
            </w:r>
            <w:r>
              <w:rPr>
                <w:sz w:val="18"/>
                <w:szCs w:val="18"/>
              </w:rPr>
              <w:t>.</w:t>
            </w:r>
          </w:p>
        </w:tc>
      </w:tr>
      <w:tr w:rsidR="00554277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554277" w:rsidP="008B57FF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 w:rsidRPr="00554277">
              <w:rPr>
                <w:sz w:val="18"/>
                <w:szCs w:val="18"/>
              </w:rPr>
              <w:t xml:space="preserve">О законодательной инициативе Архангельского областного Собрания депутатов по внесению проекта федерального закона </w:t>
            </w:r>
            <w:r w:rsidRPr="00554277">
              <w:rPr>
                <w:bCs/>
                <w:sz w:val="18"/>
                <w:szCs w:val="18"/>
              </w:rPr>
              <w:t>«</w:t>
            </w:r>
            <w:r w:rsidRPr="00554277">
              <w:rPr>
                <w:sz w:val="18"/>
                <w:szCs w:val="18"/>
              </w:rPr>
              <w:t>О внесении изменения в статью 17.4 Кодекса Ро</w:t>
            </w:r>
            <w:r w:rsidRPr="00554277">
              <w:rPr>
                <w:sz w:val="18"/>
                <w:szCs w:val="18"/>
              </w:rPr>
              <w:t>с</w:t>
            </w:r>
            <w:r w:rsidRPr="00554277">
              <w:rPr>
                <w:sz w:val="18"/>
                <w:szCs w:val="18"/>
              </w:rPr>
              <w:t>сийской Федерации об административных правонарушениях</w:t>
            </w:r>
            <w:r w:rsidRPr="0055427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554277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Прокуратура Архангельской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Pr="00554277" w:rsidRDefault="00554277" w:rsidP="005542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54277">
              <w:rPr>
                <w:sz w:val="18"/>
                <w:szCs w:val="18"/>
              </w:rPr>
              <w:t>роект федерального закона предусматривает изменения дополняющие статью 17.4 Кодекса Ро</w:t>
            </w:r>
            <w:r w:rsidRPr="00554277">
              <w:rPr>
                <w:sz w:val="18"/>
                <w:szCs w:val="18"/>
              </w:rPr>
              <w:t>с</w:t>
            </w:r>
            <w:r w:rsidRPr="00554277">
              <w:rPr>
                <w:sz w:val="18"/>
                <w:szCs w:val="18"/>
              </w:rPr>
              <w:t>сийской Федерации об административных правонарушениях положением, устанавливающим административную ответственность должностного лица за непринятие мер по частному постановлению (определению) суда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554277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77" w:rsidRDefault="00554277" w:rsidP="00554277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Рекомендовать </w:t>
            </w:r>
            <w:r w:rsidRPr="00554277">
              <w:rPr>
                <w:sz w:val="18"/>
                <w:szCs w:val="18"/>
              </w:rPr>
              <w:t>принять предложенный проект постановления на очередной тридцать седьмой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6C38C4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AD5379" w:rsidP="00590000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6C38C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Pr="006C38C4" w:rsidRDefault="006C38C4" w:rsidP="0060018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18"/>
                <w:szCs w:val="18"/>
              </w:rPr>
            </w:pPr>
            <w:r w:rsidRPr="006C38C4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 xml:space="preserve">рассмотрении </w:t>
            </w:r>
            <w:r w:rsidRPr="006C38C4">
              <w:rPr>
                <w:sz w:val="18"/>
                <w:szCs w:val="18"/>
              </w:rPr>
              <w:t>ходатайств</w:t>
            </w:r>
            <w:r w:rsidR="00AD5379">
              <w:rPr>
                <w:sz w:val="18"/>
                <w:szCs w:val="18"/>
              </w:rPr>
              <w:t>а</w:t>
            </w:r>
            <w:r w:rsidRPr="006C38C4">
              <w:rPr>
                <w:sz w:val="18"/>
                <w:szCs w:val="18"/>
              </w:rPr>
              <w:t xml:space="preserve"> о награждении Почетной грамотой Архангельского областного Собрания депутатов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6C38C4" w:rsidP="003067B1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Pr="00554277" w:rsidRDefault="006C38C4" w:rsidP="006C38C4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C4" w:rsidRDefault="006C38C4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8C" w:rsidRPr="00AD5379" w:rsidRDefault="0060018C" w:rsidP="00AD5379">
            <w:pPr>
              <w:jc w:val="both"/>
              <w:rPr>
                <w:sz w:val="18"/>
                <w:szCs w:val="18"/>
              </w:rPr>
            </w:pPr>
            <w:r w:rsidRPr="00AD5379">
              <w:rPr>
                <w:sz w:val="18"/>
                <w:szCs w:val="18"/>
              </w:rPr>
              <w:t>Рекомендовать наградить Почетной грамотой Архангельского областного Собрания депутатов</w:t>
            </w:r>
            <w:r w:rsidR="00AD5379" w:rsidRPr="00AD5379">
              <w:rPr>
                <w:sz w:val="18"/>
                <w:szCs w:val="18"/>
              </w:rPr>
              <w:t xml:space="preserve"> Гнездову Алену Петровну, секретаря-кассира Архангельской Центральной коллегии адвокатов, за многолетний и добросовестный труд, а также в честь 50-летия со дня рождения</w:t>
            </w:r>
            <w:r w:rsidRPr="00AD5379">
              <w:rPr>
                <w:sz w:val="18"/>
                <w:szCs w:val="18"/>
              </w:rPr>
              <w:t>.</w:t>
            </w:r>
          </w:p>
          <w:p w:rsidR="006C38C4" w:rsidRPr="006C38C4" w:rsidRDefault="006C38C4" w:rsidP="00122F67">
            <w:pPr>
              <w:jc w:val="both"/>
              <w:rPr>
                <w:sz w:val="18"/>
                <w:szCs w:val="18"/>
              </w:rPr>
            </w:pPr>
          </w:p>
        </w:tc>
      </w:tr>
    </w:tbl>
    <w:p w:rsidR="002269E9" w:rsidRPr="00590000" w:rsidRDefault="002269E9">
      <w:pPr>
        <w:rPr>
          <w:sz w:val="18"/>
          <w:szCs w:val="18"/>
        </w:rPr>
      </w:pPr>
    </w:p>
    <w:sectPr w:rsidR="002269E9" w:rsidRPr="00590000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37EF"/>
    <w:rsid w:val="0008342D"/>
    <w:rsid w:val="00092D02"/>
    <w:rsid w:val="0010312E"/>
    <w:rsid w:val="00103F47"/>
    <w:rsid w:val="00122F67"/>
    <w:rsid w:val="0013422F"/>
    <w:rsid w:val="00156EA2"/>
    <w:rsid w:val="00160DF4"/>
    <w:rsid w:val="0016281F"/>
    <w:rsid w:val="0018366B"/>
    <w:rsid w:val="00192B65"/>
    <w:rsid w:val="001D2628"/>
    <w:rsid w:val="001E58E5"/>
    <w:rsid w:val="00203125"/>
    <w:rsid w:val="0021395A"/>
    <w:rsid w:val="00214AB9"/>
    <w:rsid w:val="002269E9"/>
    <w:rsid w:val="00232630"/>
    <w:rsid w:val="002B0EE3"/>
    <w:rsid w:val="002D4AB6"/>
    <w:rsid w:val="003067B1"/>
    <w:rsid w:val="00313DEB"/>
    <w:rsid w:val="003216C5"/>
    <w:rsid w:val="003224FC"/>
    <w:rsid w:val="00343AA2"/>
    <w:rsid w:val="003440E9"/>
    <w:rsid w:val="00352DF8"/>
    <w:rsid w:val="003633A9"/>
    <w:rsid w:val="003A459D"/>
    <w:rsid w:val="003D49AB"/>
    <w:rsid w:val="00462CF3"/>
    <w:rsid w:val="004A1507"/>
    <w:rsid w:val="004A2C31"/>
    <w:rsid w:val="004A3EA5"/>
    <w:rsid w:val="004C2986"/>
    <w:rsid w:val="005027D3"/>
    <w:rsid w:val="00554277"/>
    <w:rsid w:val="00556708"/>
    <w:rsid w:val="00560129"/>
    <w:rsid w:val="00574E9B"/>
    <w:rsid w:val="00590000"/>
    <w:rsid w:val="0059730E"/>
    <w:rsid w:val="005A0A51"/>
    <w:rsid w:val="005C02AF"/>
    <w:rsid w:val="005C5FA4"/>
    <w:rsid w:val="005E7446"/>
    <w:rsid w:val="005F0C60"/>
    <w:rsid w:val="0060018C"/>
    <w:rsid w:val="00621B6C"/>
    <w:rsid w:val="00632F90"/>
    <w:rsid w:val="006507E6"/>
    <w:rsid w:val="00654FA2"/>
    <w:rsid w:val="00675954"/>
    <w:rsid w:val="0069781E"/>
    <w:rsid w:val="006B618E"/>
    <w:rsid w:val="006B7E9C"/>
    <w:rsid w:val="006C243A"/>
    <w:rsid w:val="006C2C5B"/>
    <w:rsid w:val="006C38C4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09CC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B57FF"/>
    <w:rsid w:val="008B6784"/>
    <w:rsid w:val="008D63BA"/>
    <w:rsid w:val="008E15B0"/>
    <w:rsid w:val="008E72ED"/>
    <w:rsid w:val="008F0324"/>
    <w:rsid w:val="008F14BE"/>
    <w:rsid w:val="008F4993"/>
    <w:rsid w:val="009133C4"/>
    <w:rsid w:val="0091422C"/>
    <w:rsid w:val="0099316F"/>
    <w:rsid w:val="00996B44"/>
    <w:rsid w:val="00997740"/>
    <w:rsid w:val="009A48A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5379"/>
    <w:rsid w:val="00AD772B"/>
    <w:rsid w:val="00B233C1"/>
    <w:rsid w:val="00B827E2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741E"/>
    <w:rsid w:val="00D867B0"/>
    <w:rsid w:val="00D923DF"/>
    <w:rsid w:val="00D96066"/>
    <w:rsid w:val="00DA566C"/>
    <w:rsid w:val="00DB0647"/>
    <w:rsid w:val="00DC27C4"/>
    <w:rsid w:val="00DD06EB"/>
    <w:rsid w:val="00E27595"/>
    <w:rsid w:val="00E525F7"/>
    <w:rsid w:val="00E71F11"/>
    <w:rsid w:val="00E71FDC"/>
    <w:rsid w:val="00E73FCD"/>
    <w:rsid w:val="00E9233D"/>
    <w:rsid w:val="00EE2BAD"/>
    <w:rsid w:val="00EF2D94"/>
    <w:rsid w:val="00F245FA"/>
    <w:rsid w:val="00F505A9"/>
    <w:rsid w:val="00F80E21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7EA1-4B3C-48BE-8879-10EEF86A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2017-10-02T09:47:00Z</dcterms:created>
  <dcterms:modified xsi:type="dcterms:W3CDTF">2017-10-02T14:09:00Z</dcterms:modified>
</cp:coreProperties>
</file>