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C" w:rsidRPr="00065358" w:rsidRDefault="00A4340C" w:rsidP="00A4340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A4340C" w:rsidRPr="004F5054" w:rsidRDefault="00A4340C" w:rsidP="00A4340C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A4340C" w:rsidRPr="008C5006" w:rsidRDefault="00A4340C" w:rsidP="00A4340C">
      <w:pPr>
        <w:pStyle w:val="a4"/>
        <w:spacing w:after="0"/>
        <w:ind w:firstLine="709"/>
        <w:jc w:val="center"/>
        <w:rPr>
          <w:b/>
        </w:rPr>
      </w:pPr>
    </w:p>
    <w:p w:rsidR="00A4340C" w:rsidRDefault="00A4340C" w:rsidP="00A4340C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15 от 27 октября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C019C">
        <w:rPr>
          <w:sz w:val="24"/>
          <w:szCs w:val="24"/>
        </w:rPr>
        <w:t xml:space="preserve"> года</w:t>
      </w:r>
    </w:p>
    <w:p w:rsidR="00A4340C" w:rsidRPr="004F5054" w:rsidRDefault="00A4340C" w:rsidP="00A4340C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A4340C" w:rsidRPr="00100F79" w:rsidRDefault="00A4340C" w:rsidP="00A4340C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930"/>
        <w:gridCol w:w="1418"/>
        <w:gridCol w:w="6804"/>
        <w:gridCol w:w="1701"/>
        <w:gridCol w:w="2835"/>
      </w:tblGrid>
      <w:tr w:rsidR="00A4340C" w:rsidRPr="00F85A40" w:rsidTr="00CF36FF">
        <w:tc>
          <w:tcPr>
            <w:tcW w:w="588" w:type="dxa"/>
            <w:vAlign w:val="center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0" w:type="dxa"/>
            <w:vAlign w:val="center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418" w:type="dxa"/>
            <w:vAlign w:val="center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законодательной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инициати</w:t>
            </w:r>
            <w:r w:rsidR="00CF36FF">
              <w:rPr>
                <w:b/>
                <w:sz w:val="24"/>
                <w:szCs w:val="24"/>
              </w:rPr>
              <w:t>-</w:t>
            </w:r>
            <w:r w:rsidRPr="00F85A40">
              <w:rPr>
                <w:b/>
                <w:sz w:val="24"/>
                <w:szCs w:val="24"/>
              </w:rPr>
              <w:t>вы</w:t>
            </w:r>
            <w:proofErr w:type="spellEnd"/>
            <w:proofErr w:type="gramEnd"/>
          </w:p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6804" w:type="dxa"/>
            <w:vAlign w:val="center"/>
          </w:tcPr>
          <w:p w:rsidR="00A4340C" w:rsidRPr="00F85A40" w:rsidRDefault="00A4340C" w:rsidP="00A4340C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701" w:type="dxa"/>
            <w:vAlign w:val="center"/>
          </w:tcPr>
          <w:p w:rsidR="00A4340C" w:rsidRPr="00F85A40" w:rsidRDefault="00A4340C" w:rsidP="00A4340C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</w:t>
            </w:r>
            <w:proofErr w:type="spellStart"/>
            <w:proofErr w:type="gramStart"/>
            <w:r w:rsidRPr="00147075">
              <w:rPr>
                <w:b/>
                <w:bCs/>
                <w:sz w:val="22"/>
                <w:szCs w:val="22"/>
              </w:rPr>
              <w:t>законопроект</w:t>
            </w:r>
            <w:r w:rsidR="00CF36FF">
              <w:rPr>
                <w:b/>
                <w:bCs/>
                <w:sz w:val="22"/>
                <w:szCs w:val="22"/>
              </w:rPr>
              <w:t>-</w:t>
            </w:r>
            <w:r w:rsidRPr="00147075">
              <w:rPr>
                <w:b/>
                <w:bCs/>
                <w:sz w:val="22"/>
                <w:szCs w:val="22"/>
              </w:rPr>
              <w:t>ной</w:t>
            </w:r>
            <w:proofErr w:type="spellEnd"/>
            <w:proofErr w:type="gramEnd"/>
            <w:r w:rsidRPr="00147075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147075">
              <w:rPr>
                <w:b/>
                <w:bCs/>
                <w:sz w:val="22"/>
                <w:szCs w:val="22"/>
              </w:rPr>
              <w:t>нормотворч</w:t>
            </w:r>
            <w:r w:rsidR="00CF36FF">
              <w:rPr>
                <w:b/>
                <w:bCs/>
                <w:sz w:val="22"/>
                <w:szCs w:val="22"/>
              </w:rPr>
              <w:t>-</w:t>
            </w:r>
            <w:r w:rsidRPr="00147075">
              <w:rPr>
                <w:b/>
                <w:bCs/>
                <w:sz w:val="22"/>
                <w:szCs w:val="22"/>
              </w:rPr>
              <w:t>еской</w:t>
            </w:r>
            <w:proofErr w:type="spellEnd"/>
            <w:r w:rsidRPr="00147075">
              <w:rPr>
                <w:b/>
                <w:bCs/>
                <w:sz w:val="22"/>
                <w:szCs w:val="22"/>
              </w:rPr>
              <w:t xml:space="preserve">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835" w:type="dxa"/>
            <w:vAlign w:val="center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A4340C" w:rsidRPr="00F85A40" w:rsidTr="00CF36FF">
        <w:tc>
          <w:tcPr>
            <w:tcW w:w="588" w:type="dxa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40C" w:rsidRPr="00F85A40" w:rsidRDefault="00A4340C" w:rsidP="00A4340C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4340C" w:rsidRPr="00F85A40" w:rsidRDefault="00A4340C" w:rsidP="00A4340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1701" w:type="dxa"/>
          </w:tcPr>
          <w:p w:rsidR="00A4340C" w:rsidRPr="00F85A40" w:rsidRDefault="00A4340C" w:rsidP="00A4340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4340C" w:rsidRPr="00F85A40" w:rsidRDefault="00A4340C" w:rsidP="00A4340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A4340C" w:rsidRPr="00F85A40" w:rsidTr="00CF36FF">
        <w:tc>
          <w:tcPr>
            <w:tcW w:w="588" w:type="dxa"/>
          </w:tcPr>
          <w:p w:rsidR="00A4340C" w:rsidRPr="00F85A40" w:rsidRDefault="00A4340C" w:rsidP="00A4340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A4340C" w:rsidRPr="00A4340C" w:rsidRDefault="00A4340C" w:rsidP="00A4340C">
            <w:pPr>
              <w:rPr>
                <w:highlight w:val="yellow"/>
              </w:rPr>
            </w:pPr>
            <w:r w:rsidRPr="00A4340C">
              <w:t>О проекте областного закона от 15 октября 2020 года № пз</w:t>
            </w:r>
            <w:proofErr w:type="gramStart"/>
            <w:r w:rsidRPr="00A4340C">
              <w:t>7</w:t>
            </w:r>
            <w:proofErr w:type="gramEnd"/>
            <w:r w:rsidRPr="00A4340C">
              <w:t>/491</w:t>
            </w:r>
            <w:r w:rsidRPr="00A4340C">
              <w:br/>
              <w:t xml:space="preserve"> «</w:t>
            </w:r>
            <w:r w:rsidRPr="00A4340C">
              <w:rPr>
                <w:color w:val="000000"/>
                <w:spacing w:val="-1"/>
              </w:rPr>
              <w:t>Об областном бюджете на 2021 год и на плановый период 2022 и 2023 годов</w:t>
            </w:r>
            <w:r w:rsidRPr="00A4340C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A4340C" w:rsidRDefault="00A4340C" w:rsidP="00CF36F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77B57">
              <w:rPr>
                <w:sz w:val="24"/>
                <w:szCs w:val="24"/>
              </w:rPr>
              <w:t xml:space="preserve">Губернатор </w:t>
            </w:r>
            <w:r>
              <w:rPr>
                <w:sz w:val="24"/>
                <w:szCs w:val="24"/>
              </w:rPr>
              <w:t>А</w:t>
            </w:r>
            <w:r w:rsidRPr="00F77B57">
              <w:rPr>
                <w:sz w:val="24"/>
                <w:szCs w:val="24"/>
              </w:rPr>
              <w:t xml:space="preserve">рхангельской области </w:t>
            </w:r>
            <w:r>
              <w:rPr>
                <w:sz w:val="24"/>
                <w:szCs w:val="24"/>
              </w:rPr>
              <w:t>Цыбульский А.В</w:t>
            </w:r>
            <w:r w:rsidRPr="00F77B57">
              <w:rPr>
                <w:sz w:val="24"/>
                <w:szCs w:val="24"/>
              </w:rPr>
              <w:t xml:space="preserve">./ </w:t>
            </w:r>
            <w:r>
              <w:rPr>
                <w:sz w:val="24"/>
                <w:szCs w:val="24"/>
              </w:rPr>
              <w:t xml:space="preserve">исполняющий обязанности министра образования и науки Архангельской области </w:t>
            </w:r>
            <w:r>
              <w:rPr>
                <w:sz w:val="24"/>
                <w:szCs w:val="24"/>
              </w:rPr>
              <w:br/>
              <w:t>Маневская С.Б.</w:t>
            </w:r>
            <w:r w:rsidR="00CF36FF">
              <w:rPr>
                <w:sz w:val="24"/>
                <w:szCs w:val="24"/>
              </w:rPr>
              <w:t>,</w:t>
            </w:r>
          </w:p>
          <w:p w:rsidR="00CF36FF" w:rsidRPr="00F77B57" w:rsidRDefault="00CF36FF" w:rsidP="00CF36FF">
            <w:pPr>
              <w:pStyle w:val="a3"/>
              <w:ind w:left="-66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A4340C" w:rsidRPr="00CF36FF" w:rsidRDefault="00A4340C" w:rsidP="00CF36FF">
            <w:pPr>
              <w:widowControl w:val="0"/>
              <w:suppressAutoHyphens/>
              <w:ind w:right="34" w:firstLine="34"/>
              <w:jc w:val="both"/>
            </w:pPr>
            <w:r w:rsidRPr="00CF36FF">
              <w:t>В соответствии с пунктом 4 статьи 17 областного закона от 23 сентября 2008 года № 562-29-ОЗ «О бюджетном процессе Архангельской области» комитет рассмотрел на своем заседании проект областного закона от 15 октября 2020 года № пз</w:t>
            </w:r>
            <w:proofErr w:type="gramStart"/>
            <w:r w:rsidRPr="00CF36FF">
              <w:t>7</w:t>
            </w:r>
            <w:proofErr w:type="gramEnd"/>
            <w:r w:rsidRPr="00CF36FF">
              <w:t>/491 «</w:t>
            </w:r>
            <w:r w:rsidRPr="00CF36FF">
              <w:rPr>
                <w:spacing w:val="-1"/>
              </w:rPr>
              <w:t>Об областном бюджете на 2021 год и на плановый период 2022 и 2023 годов</w:t>
            </w:r>
            <w:r w:rsidRPr="00CF36FF">
              <w:t>» (далее – проект областного закона «Об областном бюджете на 2021 год и на плановый период 2022 и 2023 годов», проект областного бюджета</w:t>
            </w:r>
            <w:r w:rsidRPr="00CF36FF">
              <w:rPr>
                <w:spacing w:val="-1"/>
              </w:rPr>
              <w:t xml:space="preserve"> на 2021 год и на плановый период 2022 и 2023 годов</w:t>
            </w:r>
            <w:r w:rsidRPr="00CF36FF">
              <w:t>) по вопросам</w:t>
            </w:r>
            <w:r w:rsidRPr="00CF36FF">
              <w:rPr>
                <w:color w:val="020202"/>
              </w:rPr>
              <w:t xml:space="preserve"> сферы образования, науки, культурной политики и туризма в Архангельской области</w:t>
            </w:r>
            <w:r w:rsidRPr="00CF36FF">
              <w:t>, относящимся в</w:t>
            </w:r>
            <w:r w:rsidRPr="00CF36FF">
              <w:rPr>
                <w:color w:val="020202"/>
              </w:rPr>
              <w:t xml:space="preserve"> соответствии с Положением о комитетах Архангельского областного Собрания депутатов</w:t>
            </w:r>
            <w:r w:rsidRPr="00CF36FF">
              <w:t xml:space="preserve"> к ведению комитета. </w:t>
            </w:r>
          </w:p>
          <w:p w:rsidR="00A4340C" w:rsidRPr="00CF36FF" w:rsidRDefault="00A4340C" w:rsidP="00CF36FF">
            <w:pPr>
              <w:widowControl w:val="0"/>
              <w:suppressAutoHyphens/>
              <w:ind w:right="34" w:firstLine="34"/>
              <w:jc w:val="both"/>
            </w:pPr>
            <w:proofErr w:type="gramStart"/>
            <w:r w:rsidRPr="00CF36FF">
              <w:t xml:space="preserve">Согласно приложению № 2 к распоряжению председателя Архангельского областного Собрания депутатов от 21 октября 2020 года № 135р «О назначении профильных комитетов, ответственных за рассмотрение отдельных разделов и </w:t>
            </w:r>
            <w:r w:rsidRPr="00CF36FF">
              <w:lastRenderedPageBreak/>
              <w:t>подразделов классификации расходов областного бюджета и государственных программ Архангельской области, основных характеристик областного бюджета проекта областного закона «Об областном бюджете на 2021 год и на плановый период 2022 и 2023 годов»</w:t>
            </w:r>
            <w:r w:rsidRPr="00CF36FF">
              <w:rPr>
                <w:color w:val="020202"/>
              </w:rPr>
              <w:t xml:space="preserve"> </w:t>
            </w:r>
            <w:r w:rsidRPr="00CF36FF">
              <w:t>комитет назначен ответственным</w:t>
            </w:r>
            <w:proofErr w:type="gramEnd"/>
            <w:r w:rsidRPr="00CF36FF">
              <w:t xml:space="preserve"> за рассмотрение следующих государственных программ Архангельской области: 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«Культура Русского Севера»;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«Развитие образования и науки Архангельской области»;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rPr>
                <w:color w:val="000000"/>
              </w:rPr>
              <w:t>«</w:t>
            </w:r>
            <w:r w:rsidRPr="00CF36FF">
              <w:t>Развитие здравоохранения Архангельской области» (подпрограмма «Кадровое обеспечение системы здравоохранения»);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color w:val="000000"/>
              </w:rPr>
              <w:t xml:space="preserve"> «Социальная поддержка граждан в Архангельской области»</w:t>
            </w:r>
            <w:r w:rsidRPr="00CF36FF">
              <w:t xml:space="preserve"> (подпрограмма «Право быть равным»);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proofErr w:type="gramStart"/>
            <w:r w:rsidRPr="00CF36FF">
              <w:rPr>
                <w:color w:val="000000"/>
              </w:rPr>
      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 и психотропных веществ в Архангельской области»</w:t>
            </w:r>
            <w:r w:rsidRPr="00CF36FF">
              <w:t xml:space="preserve"> (подпрограммы «Профилактика незаконного потребления наркотических средств и психотропных веществ, реабилитация и </w:t>
            </w:r>
            <w:proofErr w:type="spellStart"/>
            <w:r w:rsidRPr="00CF36FF">
              <w:t>ресоциализация</w:t>
            </w:r>
            <w:proofErr w:type="spellEnd"/>
            <w:r w:rsidRPr="00CF36FF">
              <w:t xml:space="preserve"> потребителей наркотических средств и психотропных веществ»</w:t>
            </w:r>
            <w:r w:rsidRPr="00CF36FF">
              <w:rPr>
                <w:color w:val="000000"/>
              </w:rPr>
              <w:t xml:space="preserve">, </w:t>
            </w:r>
            <w:r w:rsidRPr="00CF36FF">
              <w:t>«Профилактика преступлений и иных правонарушений в Архангельской области», «Профилактика экстремизма и терроризма в Архангельской области»);</w:t>
            </w:r>
            <w:proofErr w:type="gramEnd"/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«Защита населения и территорий Архангельской области от чрезвычайных ситуаций, обеспечение пожарной безопасности и безопасности на водных объектах» (подпрограмма «Пожарная безопасность в Архангельской области»);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«Развитие инфраструктуры Соловецкого архипелага»;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bCs/>
                <w:color w:val="000000"/>
              </w:rPr>
              <w:t xml:space="preserve">«Комплексное развитие сельских территорий Архангельской области» (подпрограмма </w:t>
            </w:r>
            <w:r w:rsidRPr="00CF36FF">
              <w:t>«Создание и развитие инфраструктуры на сельских территориях»);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«Молодежь Поморья» (подпрограмма «Патриотическое воспитание граждан Российской Федерации в Архангельской </w:t>
            </w:r>
            <w:r w:rsidRPr="00CF36FF">
              <w:lastRenderedPageBreak/>
              <w:t>области»).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spacing w:val="-1"/>
              </w:rPr>
            </w:pPr>
            <w:r w:rsidRPr="00CF36FF">
              <w:t>Рассмотрев основные характеристики проекта областного бюджета</w:t>
            </w:r>
            <w:r w:rsidR="00CF36FF">
              <w:t xml:space="preserve"> </w:t>
            </w:r>
            <w:r w:rsidRPr="00CF36FF">
              <w:rPr>
                <w:spacing w:val="-1"/>
              </w:rPr>
              <w:t>на 2021 год и на плановый период 2022 и 2023 годов: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spacing w:val="-1"/>
              </w:rPr>
              <w:t>1.1.</w:t>
            </w:r>
            <w:r w:rsidRPr="00CF36FF">
              <w:t xml:space="preserve"> Прогнозируемый общий объем доходов областного бюджета планируется: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2021 год в сумме 97 258,6 млн. рублей;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2022 год – 104 094,5 млн. рублей;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2023 год – 103 587,1 млн. рублей.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Общий объем расходов областного бюджета спрогнозирован: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2021 год в сумме 106 750,6 рублей (дефицит – 9 491,9 млн. рублей);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2022 год – 109 949,2 млн. рублей (дефицит – 5 854,7 млн. рублей);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2023 год – 107 729,4 млн. рублей (дефицит – 4 142,3 млн. рублей).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1.2. Рассмотрев основные характеристики исполнения областного бюджета за 2020 год и плановые показатели на 2021 – 2023 годы по ведомственной структуре в отношении трех исполнительных органов государственной власти, комитет отмечает следующее: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1) Общий объем финансирования министерства образования и науки Архангельской области запланирован: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 xml:space="preserve">на 2021 год в сумме </w:t>
            </w:r>
            <w:r w:rsidRPr="00CF36FF">
              <w:rPr>
                <w:bCs/>
                <w:color w:val="000000"/>
              </w:rPr>
              <w:t>24 963,3 млн. рублей (на 2 процента больше</w:t>
            </w:r>
            <w:r w:rsidR="00CF36FF">
              <w:rPr>
                <w:bCs/>
                <w:color w:val="000000"/>
              </w:rPr>
              <w:t xml:space="preserve"> </w:t>
            </w:r>
            <w:r w:rsidRPr="00CF36FF">
              <w:rPr>
                <w:bCs/>
                <w:color w:val="000000"/>
              </w:rPr>
              <w:t>2020 года);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на 2022 год – 24 528,4 млн. рублей;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на 2023 год – 24 289,1 млн. рублей.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t>Финансирование отрасли на</w:t>
            </w:r>
            <w:r w:rsidRPr="00CF36FF">
              <w:rPr>
                <w:bCs/>
                <w:color w:val="000000"/>
              </w:rPr>
              <w:t xml:space="preserve"> 2020 год было запланировано в сумме 23 909,1 млн. рублей,</w:t>
            </w:r>
            <w:r w:rsidRPr="00CF36FF">
              <w:t xml:space="preserve"> по уточненной бюджетной росписи на 01.10.2020 оно составило 24 369,5 </w:t>
            </w:r>
            <w:r w:rsidRPr="00CF36FF">
              <w:rPr>
                <w:bCs/>
                <w:color w:val="000000"/>
              </w:rPr>
              <w:t>млн. рублей (на 0,5 млн. рублей больше планового), что на 10,1 процент больше, чем в 2019 году (21 662,3 млн. рублей).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2) Общий объем финансирования министерства культуры Архангельской области запланирован: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 xml:space="preserve">на 2021 год в сумме </w:t>
            </w:r>
            <w:r w:rsidRPr="00CF36FF">
              <w:rPr>
                <w:bCs/>
                <w:color w:val="000000"/>
              </w:rPr>
              <w:t xml:space="preserve">1 522,6 млн. рублей (на 15,8 процента </w:t>
            </w:r>
            <w:r w:rsidRPr="00CF36FF">
              <w:rPr>
                <w:bCs/>
                <w:color w:val="000000"/>
              </w:rPr>
              <w:lastRenderedPageBreak/>
              <w:t>меньше 2020 года);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на 2022 год – 1 389,4 млн. рублей (снижение еще на 9 процентов);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на 2023 год – 1 575,6 млн. рублей (фактически равно расходам 2019 года).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При этом на 2020 год было запланировано финансирование в сумме 1 797,3 млн. рублей</w:t>
            </w:r>
            <w:r w:rsidRPr="00CF36FF">
              <w:t xml:space="preserve">, по уточненной бюджетной росписи на 01.10.2020 оно составило </w:t>
            </w:r>
            <w:r w:rsidRPr="00CF36FF">
              <w:rPr>
                <w:bCs/>
                <w:color w:val="000000"/>
              </w:rPr>
              <w:t>1 808,2 млн. рублей (на 10,9 млн. рублей больше планового), что на 13 процентов больше, чем в 2019 году (1 573,8 млн. рублей).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 xml:space="preserve">3) Общий объем финансирования инспекции по охране памятников Архангельской области </w:t>
            </w:r>
            <w:r w:rsidRPr="00CF36FF">
              <w:t>запланирован: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t xml:space="preserve">на 2021 год в сумме </w:t>
            </w:r>
            <w:r w:rsidRPr="00CF36FF">
              <w:rPr>
                <w:bCs/>
                <w:color w:val="000000"/>
              </w:rPr>
              <w:t>161,8 млн. рублей;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на 2022 год – 31,5 млн. рублей;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на 2023 год – 32,3 млн. рублей.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bCs/>
                <w:color w:val="000000"/>
              </w:rPr>
            </w:pPr>
            <w:r w:rsidRPr="00CF36FF">
              <w:rPr>
                <w:bCs/>
                <w:color w:val="000000"/>
              </w:rPr>
              <w:t>То есть, на плановый период 2022 – 2023 годов снижение общего объема финансирования спрогнозировано на 81,5 процента по сравнению с 2020 – 2021 годами.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 xml:space="preserve">На 2020 год было запланировано в сумме 195,9 млн. рублей, по уточненной бюджетной росписи на 01.10.2020 – на 8 процентов меньше (159,7 млн. рублей), что связано с исключением 40,0 млн. рублей по отдельному  мероприятию. 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В 2019 году инспекция была профинансирована на 87,4 млн. рублей.</w:t>
            </w:r>
          </w:p>
          <w:p w:rsidR="00A4340C" w:rsidRPr="00CF36FF" w:rsidRDefault="00A4340C" w:rsidP="00CF36FF">
            <w:pPr>
              <w:widowControl w:val="0"/>
              <w:tabs>
                <w:tab w:val="left" w:pos="993"/>
                <w:tab w:val="left" w:pos="1276"/>
                <w:tab w:val="left" w:pos="1418"/>
              </w:tabs>
              <w:ind w:right="34" w:firstLine="34"/>
              <w:jc w:val="both"/>
              <w:rPr>
                <w:iCs/>
              </w:rPr>
            </w:pPr>
            <w:r w:rsidRPr="00CF36FF">
              <w:rPr>
                <w:iCs/>
              </w:rPr>
              <w:t>2.  Анализ государственных программ Архангельской области, ответственность за рассмотрение которых возложена на комитет.</w:t>
            </w:r>
          </w:p>
          <w:p w:rsidR="00A4340C" w:rsidRPr="00CF36FF" w:rsidRDefault="00A4340C" w:rsidP="00CF36FF">
            <w:pPr>
              <w:widowControl w:val="0"/>
              <w:tabs>
                <w:tab w:val="left" w:pos="993"/>
                <w:tab w:val="left" w:pos="1276"/>
                <w:tab w:val="left" w:pos="1418"/>
              </w:tabs>
              <w:ind w:right="34" w:firstLine="34"/>
              <w:jc w:val="both"/>
            </w:pPr>
            <w:r w:rsidRPr="00CF36FF">
              <w:rPr>
                <w:iCs/>
              </w:rPr>
              <w:t xml:space="preserve">2.1. Рассмотрев финансирование государственной программы Архангельской области </w:t>
            </w:r>
            <w:r w:rsidRPr="00CF36FF">
              <w:rPr>
                <w:b/>
              </w:rPr>
              <w:t xml:space="preserve">«Культура Русского Севера» </w:t>
            </w:r>
            <w:r w:rsidRPr="00CF36FF">
              <w:t>(далее – госпрограмма)</w:t>
            </w:r>
            <w:r w:rsidRPr="00CF36FF">
              <w:rPr>
                <w:b/>
              </w:rPr>
              <w:t xml:space="preserve"> </w:t>
            </w:r>
            <w:r w:rsidRPr="00CF36FF">
              <w:t>на 2021 год,</w:t>
            </w:r>
            <w:r w:rsidRPr="00CF36FF">
              <w:rPr>
                <w:b/>
              </w:rPr>
              <w:t xml:space="preserve"> </w:t>
            </w:r>
            <w:r w:rsidRPr="00CF36FF">
              <w:t>комитет отмечает следующее.</w:t>
            </w:r>
          </w:p>
          <w:p w:rsidR="00A4340C" w:rsidRPr="00CF36FF" w:rsidRDefault="00A4340C" w:rsidP="00CF36FF">
            <w:pPr>
              <w:pStyle w:val="20"/>
              <w:widowControl w:val="0"/>
              <w:spacing w:after="0" w:line="240" w:lineRule="auto"/>
              <w:ind w:left="284" w:right="34" w:firstLine="34"/>
              <w:rPr>
                <w:b/>
              </w:rPr>
            </w:pPr>
            <w:r w:rsidRPr="00CF36FF">
              <w:t>Расходы областного бюджета на реализацию национальных проектов, реализуемых в рамках госпрограммы, составляют: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4997" w:type="pct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158"/>
              <w:gridCol w:w="1132"/>
              <w:gridCol w:w="1133"/>
              <w:gridCol w:w="1133"/>
              <w:gridCol w:w="1018"/>
            </w:tblGrid>
            <w:tr w:rsidR="00CF36FF" w:rsidRPr="00CF36FF" w:rsidTr="00CF36FF">
              <w:trPr>
                <w:trHeight w:val="630"/>
                <w:tblHeader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center"/>
                  </w:pPr>
                  <w:r w:rsidRPr="00CF36FF">
                    <w:lastRenderedPageBreak/>
                    <w:t>Наименование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17" w:right="34"/>
                    <w:jc w:val="center"/>
                  </w:pPr>
                  <w:r w:rsidRPr="00CF36FF">
                    <w:t>Уточненный план 2020 года</w:t>
                  </w:r>
                </w:p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center"/>
                  </w:pPr>
                  <w:r w:rsidRPr="00CF36FF">
                    <w:t>(на 01.10.2020)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center"/>
                  </w:pPr>
                  <w:r w:rsidRPr="00CF36FF">
                    <w:t>2021 год (проект)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center"/>
                  </w:pPr>
                  <w:r w:rsidRPr="00CF36FF">
                    <w:t>2022 год (проект)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center"/>
                  </w:pPr>
                  <w:r w:rsidRPr="00CF36FF">
                    <w:t>2023 год (проект)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ВСЕГО расходов по госпрограмме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iCs/>
                    </w:rPr>
                  </w:pPr>
                  <w:r w:rsidRPr="00CF36FF">
                    <w:rPr>
                      <w:b/>
                      <w:bCs/>
                    </w:rPr>
                    <w:t>2 043,6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  <w:lang w:val="en-US"/>
                    </w:rPr>
                  </w:pPr>
                  <w:r w:rsidRPr="00CF36FF">
                    <w:rPr>
                      <w:b/>
                      <w:iCs/>
                    </w:rPr>
                    <w:t>1 729,8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1 676,6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1 636,8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из них расходы на реализацию национального проекта «Культура»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iCs/>
                    </w:rPr>
                  </w:pPr>
                  <w:r w:rsidRPr="00CF36FF">
                    <w:rPr>
                      <w:b/>
                      <w:iCs/>
                    </w:rPr>
                    <w:t>81,4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79,2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63,1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202,4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  <w:rPr>
                      <w:i/>
                      <w:iCs/>
                    </w:rPr>
                  </w:pPr>
                  <w:r w:rsidRPr="00CF36FF"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  <w:rPr>
                      <w:b/>
                    </w:rPr>
                  </w:pPr>
                  <w:r w:rsidRPr="00CF36FF">
                    <w:rPr>
                      <w:b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77,7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76,7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57,4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202,4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</w:pPr>
                  <w:r w:rsidRPr="00CF36FF">
                    <w:t>за счет федеральной субсидии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56,9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70,4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51,7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187,5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</w:pPr>
                  <w:r w:rsidRPr="00CF36FF">
                    <w:t xml:space="preserve">за счет областных средств 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20,7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6,3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5,7</w:t>
                  </w:r>
                </w:p>
              </w:tc>
              <w:tc>
                <w:tcPr>
                  <w:tcW w:w="7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14,9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  <w:rPr>
                      <w:b/>
                    </w:rPr>
                  </w:pPr>
                  <w:r w:rsidRPr="00CF36FF">
                    <w:rPr>
                      <w:b/>
                    </w:rPr>
                    <w:t>Федеральный проект «Цифровая культура»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3,7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2,5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5,7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  <w:rPr>
                      <w:b/>
                    </w:rPr>
                  </w:pPr>
                  <w:r w:rsidRPr="00CF36FF">
                    <w:rPr>
                      <w:b/>
                    </w:rPr>
                    <w:t>-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</w:pPr>
                  <w:r w:rsidRPr="00CF36FF">
                    <w:t>за счет федеральной субсидии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3,5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2,5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5,7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-</w:t>
                  </w:r>
                </w:p>
              </w:tc>
            </w:tr>
            <w:tr w:rsidR="00CF36FF" w:rsidRPr="00CF36FF" w:rsidTr="00CF36FF">
              <w:trPr>
                <w:trHeight w:val="210"/>
                <w:tblHeader/>
              </w:trPr>
              <w:tc>
                <w:tcPr>
                  <w:tcW w:w="1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tabs>
                      <w:tab w:val="left" w:pos="253"/>
                    </w:tabs>
                    <w:ind w:left="425" w:right="34" w:hanging="284"/>
                  </w:pPr>
                  <w:r w:rsidRPr="00CF36FF">
                    <w:t xml:space="preserve">за счет областных средств 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0,2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-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-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425" w:right="34" w:hanging="284"/>
                    <w:jc w:val="right"/>
                  </w:pPr>
                  <w:r w:rsidRPr="00CF36FF">
                    <w:t>-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  <w:color w:val="000000"/>
              </w:rPr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  <w:color w:val="000000"/>
              </w:rPr>
            </w:pPr>
            <w:proofErr w:type="gramStart"/>
            <w:r w:rsidRPr="00CF36FF">
              <w:rPr>
                <w:bCs/>
                <w:color w:val="000000"/>
              </w:rPr>
              <w:lastRenderedPageBreak/>
              <w:t>Комитет отмечает, что на 2021 год спрогнозировано уменьшение объема финансирования на 15,4 процента от уровня 2020 года (2 043,6 млн. рублей), что</w:t>
            </w:r>
            <w:r w:rsidRPr="00CF36FF">
              <w:t xml:space="preserve"> связано с плановым завершением работ и соответственно уменьшением объема финансирования на </w:t>
            </w:r>
            <w:r w:rsidRPr="00CF36FF">
              <w:rPr>
                <w:color w:val="000000"/>
              </w:rPr>
              <w:t>реконструкцию мостового перехода через реку Вага автомобильной дороги Вельск – Шангалы, а также и</w:t>
            </w:r>
            <w:r w:rsidRPr="00CF36FF">
              <w:t xml:space="preserve">сключением расходов </w:t>
            </w:r>
            <w:r w:rsidRPr="00CF36FF">
              <w:br/>
              <w:t>на реализацию мероприятий, посвященных 75-летию Великой Победы и Году Федора Абрамова в Архангельской</w:t>
            </w:r>
            <w:proofErr w:type="gramEnd"/>
            <w:r w:rsidRPr="00CF36FF">
              <w:t xml:space="preserve"> области.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bCs/>
                <w:color w:val="000000"/>
              </w:rPr>
              <w:t>На 2022 – 2023 годы запланировано ежегодное снижение финансирования госпрограммы на 9,7 процента.</w:t>
            </w:r>
          </w:p>
          <w:p w:rsidR="00A4340C" w:rsidRPr="00CF36FF" w:rsidRDefault="00A4340C" w:rsidP="00CF36FF">
            <w:pPr>
              <w:pStyle w:val="20"/>
              <w:widowControl w:val="0"/>
              <w:spacing w:after="0" w:line="240" w:lineRule="auto"/>
              <w:ind w:left="284" w:right="34" w:firstLine="34"/>
            </w:pPr>
            <w:r w:rsidRPr="00CF36FF">
              <w:t>Основные направления расходов по госпрограмме на 2020 и 2021 годы составляют:</w:t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4963" w:type="pct"/>
              <w:tblInd w:w="108" w:type="dxa"/>
              <w:tblLayout w:type="fixed"/>
              <w:tblLook w:val="0000"/>
            </w:tblPr>
            <w:tblGrid>
              <w:gridCol w:w="3573"/>
              <w:gridCol w:w="1126"/>
              <w:gridCol w:w="750"/>
              <w:gridCol w:w="1080"/>
            </w:tblGrid>
            <w:tr w:rsidR="00A4340C" w:rsidRPr="00CF36FF" w:rsidTr="00A4340C">
              <w:trPr>
                <w:cantSplit/>
                <w:trHeight w:val="912"/>
                <w:tblHeader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-57" w:right="34" w:firstLine="34"/>
                    <w:jc w:val="center"/>
                  </w:pPr>
                  <w:r w:rsidRPr="00CF36FF">
                    <w:t>Уточненный план 2020 года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proofErr w:type="gramStart"/>
                  <w:r w:rsidRPr="00CF36FF">
                    <w:t>(на 01.10.20</w:t>
                  </w:r>
                  <w:r w:rsidRPr="00CF36FF">
                    <w:rPr>
                      <w:lang w:val="en-US"/>
                    </w:rPr>
                    <w:t>2</w:t>
                  </w:r>
                  <w:r w:rsidRPr="00CF36FF">
                    <w:t>0</w:t>
                  </w:r>
                  <w:proofErr w:type="gramEnd"/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Проект на 2021 год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Отклонение </w:t>
                  </w:r>
                  <w:r w:rsidRPr="00CF36FF">
                    <w:rPr>
                      <w:bCs/>
                    </w:rPr>
                    <w:br/>
                    <w:t>к 2020 году</w:t>
                  </w:r>
                </w:p>
              </w:tc>
            </w:tr>
            <w:tr w:rsidR="00A4340C" w:rsidRPr="00CF36FF" w:rsidTr="00A4340C">
              <w:trPr>
                <w:cantSplit/>
                <w:trHeight w:val="531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Общий объем с учетом федеральных трансфертов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2 043,6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  <w:lang w:val="en-US"/>
                    </w:rPr>
                  </w:pPr>
                  <w:r w:rsidRPr="00CF36FF">
                    <w:rPr>
                      <w:b/>
                      <w:iCs/>
                    </w:rPr>
                    <w:t>1 729,8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–313,8 (15%)</w:t>
                  </w:r>
                </w:p>
              </w:tc>
            </w:tr>
            <w:tr w:rsidR="00A4340C" w:rsidRPr="00CF36FF" w:rsidTr="00A4340C">
              <w:trPr>
                <w:cantSplit/>
                <w:trHeight w:val="531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1. Средства федеральных трансфертов, в т.ч.: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247,5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iCs/>
                    </w:rPr>
                  </w:pPr>
                  <w:r w:rsidRPr="00CF36FF">
                    <w:rPr>
                      <w:b/>
                      <w:iCs/>
                    </w:rPr>
                    <w:t>167,7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– 79,8 (32%)</w:t>
                  </w:r>
                </w:p>
              </w:tc>
            </w:tr>
            <w:tr w:rsidR="00A4340C" w:rsidRPr="00CF36FF" w:rsidTr="00A4340C">
              <w:trPr>
                <w:cantSplit/>
                <w:trHeight w:val="531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1.1.</w:t>
                  </w:r>
                  <w:r w:rsidRPr="00CF36FF">
                    <w:t xml:space="preserve"> Реализация переданных инспекции по охране объектов культурного наследия Арх</w:t>
                  </w:r>
                  <w:proofErr w:type="gramStart"/>
                  <w:r w:rsidRPr="00CF36FF">
                    <w:t>.о</w:t>
                  </w:r>
                  <w:proofErr w:type="gramEnd"/>
                  <w:r w:rsidRPr="00CF36FF">
                    <w:t>бласти полномочий РФ в отношении объектов культурного наследия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4,5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iCs/>
                    </w:rPr>
                  </w:pPr>
                  <w:r w:rsidRPr="00CF36FF">
                    <w:rPr>
                      <w:iCs/>
                    </w:rPr>
                    <w:t xml:space="preserve">5,3 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+ 0,8 (18%)</w:t>
                  </w:r>
                </w:p>
              </w:tc>
            </w:tr>
            <w:tr w:rsidR="00A4340C" w:rsidRPr="00CF36FF" w:rsidTr="00A4340C">
              <w:trPr>
                <w:cantSplit/>
                <w:trHeight w:val="531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lastRenderedPageBreak/>
                    <w:t>1.2.</w:t>
                  </w:r>
                  <w:r w:rsidRPr="00CF36FF">
                    <w:t xml:space="preserve"> Поддержка творческой деятельности </w:t>
                  </w:r>
                  <w:r w:rsidRPr="00CF36FF">
                    <w:br/>
                    <w:t>и техническое оснащение детских и кукольных театров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18,6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iCs/>
                    </w:rPr>
                  </w:pPr>
                  <w:r w:rsidRPr="00CF36FF">
                    <w:rPr>
                      <w:iCs/>
                    </w:rPr>
                    <w:t>14,6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– 4,0 (21%)</w:t>
                  </w:r>
                </w:p>
              </w:tc>
            </w:tr>
            <w:tr w:rsidR="00A4340C" w:rsidRPr="00CF36FF" w:rsidTr="00A4340C">
              <w:trPr>
                <w:cantSplit/>
                <w:trHeight w:val="531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1.3.</w:t>
                  </w:r>
                  <w:r w:rsidRPr="00CF36FF">
                    <w:t xml:space="preserve"> Предоставление межбюджетных трансфертов бюджетам муниципальных образований на условиях софинансирования из обл. бюджета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48,9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iCs/>
                    </w:rPr>
                  </w:pPr>
                  <w:r w:rsidRPr="00CF36FF">
                    <w:rPr>
                      <w:iCs/>
                    </w:rPr>
                    <w:t>87,2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+ 38,3 (78%)</w:t>
                  </w:r>
                </w:p>
              </w:tc>
            </w:tr>
            <w:tr w:rsidR="00A4340C" w:rsidRPr="00CF36FF" w:rsidTr="00A4340C">
              <w:trPr>
                <w:cantSplit/>
                <w:trHeight w:val="531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1.4.</w:t>
                  </w:r>
                  <w:r w:rsidRPr="00CF36FF">
                    <w:rPr>
                      <w:color w:val="000000"/>
                    </w:rPr>
                    <w:t xml:space="preserve"> Софинансирование реконструкции моста через реку Вага дороги Вельск – Шангалы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176,2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iCs/>
                    </w:rPr>
                  </w:pPr>
                  <w:r w:rsidRPr="00CF36FF">
                    <w:rPr>
                      <w:iCs/>
                    </w:rPr>
                    <w:t>60,6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Cs/>
                    </w:rPr>
                  </w:pPr>
                  <w:r w:rsidRPr="00CF36FF">
                    <w:rPr>
                      <w:bCs/>
                    </w:rPr>
                    <w:t>– 115,6 (66%)</w:t>
                  </w:r>
                </w:p>
              </w:tc>
            </w:tr>
            <w:tr w:rsidR="00A4340C" w:rsidRPr="00CF36FF" w:rsidTr="00A4340C">
              <w:trPr>
                <w:cantSplit/>
                <w:trHeight w:val="553"/>
              </w:trPr>
              <w:tc>
                <w:tcPr>
                  <w:tcW w:w="273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 xml:space="preserve">2. Средства областного бюджета, в т.ч.: </w:t>
                  </w:r>
                </w:p>
              </w:tc>
              <w:tc>
                <w:tcPr>
                  <w:tcW w:w="8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1 796,1</w:t>
                  </w:r>
                </w:p>
              </w:tc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1 562,1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  <w:color w:val="000000"/>
                    </w:rPr>
                  </w:pPr>
                  <w:r w:rsidRPr="00CF36FF">
                    <w:rPr>
                      <w:b/>
                      <w:bCs/>
                      <w:color w:val="000000"/>
                    </w:rPr>
                    <w:t>– 234,0 (13%)</w:t>
                  </w:r>
                </w:p>
              </w:tc>
            </w:tr>
            <w:tr w:rsidR="00A4340C" w:rsidRPr="00CF36FF" w:rsidTr="00A4340C">
              <w:trPr>
                <w:cantSplit/>
                <w:trHeight w:val="368"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2.1. Расходы на обеспечение деятельности подведомственных учреждений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lang w:val="en-US"/>
                    </w:rPr>
                  </w:pPr>
                  <w:r w:rsidRPr="00CF36FF">
                    <w:t>1 506</w:t>
                  </w:r>
                  <w:r w:rsidRPr="00CF36FF">
                    <w:rPr>
                      <w:lang w:val="en-US"/>
                    </w:rPr>
                    <w:t>,3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lang w:val="en-US"/>
                    </w:rPr>
                  </w:pPr>
                  <w:r w:rsidRPr="00CF36FF">
                    <w:t>1 4</w:t>
                  </w:r>
                  <w:r w:rsidRPr="00CF36FF">
                    <w:rPr>
                      <w:lang w:val="en-US"/>
                    </w:rPr>
                    <w:t>29</w:t>
                  </w:r>
                  <w:r w:rsidRPr="00CF36FF">
                    <w:t>,</w:t>
                  </w:r>
                  <w:r w:rsidRPr="00CF36FF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rPr>
                      <w:color w:val="000000"/>
                    </w:rPr>
                    <w:t>– 76,70 (5%)</w:t>
                  </w:r>
                </w:p>
              </w:tc>
            </w:tr>
            <w:tr w:rsidR="00A4340C" w:rsidRPr="00CF36FF" w:rsidTr="00A4340C">
              <w:trPr>
                <w:cantSplit/>
                <w:trHeight w:val="368"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2.2.Расходы на мероприятия в сфере культуры </w:t>
                  </w:r>
                  <w:r w:rsidRPr="00CF36FF">
                    <w:br/>
                    <w:t>и искусства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lang w:val="en-US"/>
                    </w:rPr>
                  </w:pPr>
                  <w:r w:rsidRPr="00CF36FF">
                    <w:rPr>
                      <w:lang w:val="en-US"/>
                    </w:rPr>
                    <w:t>12</w:t>
                  </w:r>
                  <w:r w:rsidRPr="00CF36FF">
                    <w:t>,</w:t>
                  </w:r>
                  <w:r w:rsidRPr="00CF36FF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lang w:val="en-US"/>
                    </w:rPr>
                  </w:pPr>
                  <w:r w:rsidRPr="00CF36FF">
                    <w:t>1</w:t>
                  </w:r>
                  <w:r w:rsidRPr="00CF36FF">
                    <w:rPr>
                      <w:lang w:val="en-US"/>
                    </w:rPr>
                    <w:t>6</w:t>
                  </w:r>
                  <w:r w:rsidRPr="00CF36FF">
                    <w:t>,</w:t>
                  </w:r>
                  <w:r w:rsidRPr="00CF36FF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rPr>
                      <w:color w:val="000000"/>
                    </w:rPr>
                    <w:t>+ 4,0 (31%)</w:t>
                  </w:r>
                </w:p>
              </w:tc>
            </w:tr>
            <w:tr w:rsidR="00A4340C" w:rsidRPr="00CF36FF" w:rsidTr="00A4340C">
              <w:trPr>
                <w:cantSplit/>
                <w:trHeight w:val="611"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2.3.Расходы на мероприятия по реализации мер государственной охраны и популяризации объектов культурного наследия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22,9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9,9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rPr>
                      <w:color w:val="000000"/>
                    </w:rPr>
                    <w:t>– 13,00 (57%)</w:t>
                  </w:r>
                </w:p>
              </w:tc>
            </w:tr>
            <w:tr w:rsidR="00A4340C" w:rsidRPr="00CF36FF" w:rsidTr="00A4340C">
              <w:trPr>
                <w:cantSplit/>
                <w:trHeight w:val="561"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2.4.Межбюджетные трансферты бюджетам муниципальных образований (без учета капвложений)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184,8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22,7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rPr>
                      <w:color w:val="000000"/>
                    </w:rPr>
                    <w:t xml:space="preserve">– 162,1 (88%) </w:t>
                  </w:r>
                </w:p>
              </w:tc>
            </w:tr>
            <w:tr w:rsidR="00A4340C" w:rsidRPr="00CF36FF" w:rsidTr="00A4340C">
              <w:trPr>
                <w:cantSplit/>
                <w:trHeight w:val="370"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2.5. Бюджетные инвестиции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20,1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33,2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rPr>
                      <w:color w:val="000000"/>
                    </w:rPr>
                    <w:t>+ 13,1 (65%)</w:t>
                  </w:r>
                </w:p>
              </w:tc>
            </w:tr>
            <w:tr w:rsidR="00A4340C" w:rsidRPr="00CF36FF" w:rsidTr="00A4340C">
              <w:trPr>
                <w:cantSplit/>
                <w:trHeight w:val="370"/>
              </w:trPr>
              <w:tc>
                <w:tcPr>
                  <w:tcW w:w="27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2.6. Расходы на содержание государственных органов и обеспечение их функций</w:t>
                  </w:r>
                </w:p>
              </w:tc>
              <w:tc>
                <w:tcPr>
                  <w:tcW w:w="8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49,3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50,0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rPr>
                      <w:color w:val="000000"/>
                    </w:rPr>
                    <w:t>+ 0,7 (1%)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Из средств субсидий на иные цели в 2021 году – 221,3 млн. рублей,</w:t>
            </w:r>
            <w:r w:rsidRPr="00CF36FF">
              <w:rPr>
                <w:b/>
              </w:rPr>
              <w:t xml:space="preserve"> </w:t>
            </w:r>
            <w:r w:rsidRPr="00CF36FF">
              <w:t>планируется осуществить ремонтно-реставрационные работы на сумму 155,3 млн. рублей на 9 объектах: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rPr>
                <w:bCs/>
              </w:rPr>
              <w:t>млн. 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8"/>
              <w:gridCol w:w="1418"/>
              <w:gridCol w:w="1417"/>
              <w:gridCol w:w="1276"/>
            </w:tblGrid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Объект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Утверждено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 2020 год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Предусмотрено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 2021 год</w:t>
                  </w:r>
                </w:p>
              </w:tc>
              <w:tc>
                <w:tcPr>
                  <w:tcW w:w="1276" w:type="dxa"/>
                  <w:shd w:val="clear" w:color="auto" w:fill="BFBFBF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Отклонение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к 2020 году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  <w:bCs/>
                    </w:rPr>
                    <w:t>Всего, в т.ч.: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141,9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155,3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+ 13,4 (9,4%)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1. «Кинотеатр «Север», бывший кинотеатр «Эдисон», ранее электростанция»,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40,0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41,3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+ 1,3 (3%)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 «Дом полковника Карцева»,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32,0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15,0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 17,0 (53%) (завершение работ)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3. «Русский банк внешней торговли»,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8,0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+ 8,0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4.«Дом-усадьба художника А.А. Борисова», с. Красноборск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9,2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12,0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+ 2,8  (30%) (завершение работ)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5. «Гостиный двор, 1680 год»,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23,4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32,0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+ 8,6  (37%)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6. «Воскресенская церковь», г.</w:t>
                  </w:r>
                  <w:r w:rsidRPr="00CF36FF">
                    <w:rPr>
                      <w:lang w:val="en-US"/>
                    </w:rPr>
                    <w:t> </w:t>
                  </w:r>
                  <w:r w:rsidRPr="00CF36FF">
                    <w:t>Каргополь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10,0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+ 10,0 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7. «Дом Пьянковых», г.</w:t>
                  </w:r>
                  <w:r w:rsidRPr="00CF36FF">
                    <w:rPr>
                      <w:lang w:val="en-US"/>
                    </w:rPr>
                    <w:t> </w:t>
                  </w:r>
                  <w:r w:rsidRPr="00CF36FF">
                    <w:t>Сольвычегодск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10,0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+ 10,0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8. «Обелиск Севера»,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15,0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+ 15,0 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9. «Торговое здание (ныне ломбард)»,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11,8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+ 11,8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10. «Торговое здание (Октябрьский райисполком)»,  г. 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8,8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 8,8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11. «Кирха (камерный концертный зал областной филармонии)», г. 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22,9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 22,9 (100%)</w:t>
                  </w:r>
                </w:p>
              </w:tc>
            </w:tr>
            <w:tr w:rsidR="00A4340C" w:rsidRPr="00CF36FF" w:rsidTr="00563F61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12. Особняк </w:t>
                  </w:r>
                  <w:proofErr w:type="spellStart"/>
                  <w:r w:rsidRPr="00CF36FF">
                    <w:t>Шарвина</w:t>
                  </w:r>
                  <w:proofErr w:type="spellEnd"/>
                  <w:r w:rsidRPr="00CF36FF">
                    <w:t xml:space="preserve"> (школа ДОСААФ),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 г. Архангельск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5,6</w:t>
                  </w:r>
                </w:p>
              </w:tc>
              <w:tc>
                <w:tcPr>
                  <w:tcW w:w="141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-</w:t>
                  </w:r>
                </w:p>
              </w:tc>
              <w:tc>
                <w:tcPr>
                  <w:tcW w:w="1276" w:type="dxa"/>
                  <w:shd w:val="clear" w:color="auto" w:fill="BFBFBF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 5,6 (100 %)</w:t>
                  </w:r>
                </w:p>
              </w:tc>
            </w:tr>
          </w:tbl>
          <w:p w:rsidR="00A4340C" w:rsidRDefault="00A4340C" w:rsidP="00CF36FF">
            <w:pPr>
              <w:widowControl w:val="0"/>
              <w:ind w:right="34" w:firstLine="34"/>
              <w:jc w:val="both"/>
            </w:pPr>
          </w:p>
          <w:p w:rsidR="00563F61" w:rsidRDefault="00563F61" w:rsidP="00CF36FF">
            <w:pPr>
              <w:widowControl w:val="0"/>
              <w:ind w:right="34" w:firstLine="34"/>
              <w:jc w:val="both"/>
            </w:pPr>
          </w:p>
          <w:p w:rsidR="00563F61" w:rsidRDefault="00563F61" w:rsidP="00CF36FF">
            <w:pPr>
              <w:widowControl w:val="0"/>
              <w:ind w:right="34" w:firstLine="34"/>
              <w:jc w:val="both"/>
            </w:pPr>
          </w:p>
          <w:p w:rsidR="00563F61" w:rsidRDefault="00563F61" w:rsidP="00CF36FF">
            <w:pPr>
              <w:widowControl w:val="0"/>
              <w:ind w:right="34" w:firstLine="34"/>
              <w:jc w:val="both"/>
            </w:pPr>
          </w:p>
          <w:p w:rsidR="00563F61" w:rsidRPr="00CF36FF" w:rsidRDefault="00563F61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bCs/>
              </w:rPr>
              <w:lastRenderedPageBreak/>
              <w:t>Другие приоритетные направления расходования средств областного бюджета (субсидии на иные цели):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rPr>
                <w:bCs/>
              </w:rPr>
              <w:t>млн. 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63"/>
              <w:gridCol w:w="1418"/>
              <w:gridCol w:w="1134"/>
              <w:gridCol w:w="1134"/>
            </w:tblGrid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Направление расходов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Утверждено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 2020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Предусмотрено на 2021 год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highlight w:val="lightGray"/>
                    </w:rPr>
                  </w:pPr>
                  <w:r w:rsidRPr="00CF36FF">
                    <w:rPr>
                      <w:bCs/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bCs/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 xml:space="preserve">Финансовое обеспечение деятельности государственных учреждений, в т.ч.: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103,7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 xml:space="preserve">66,3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– 37,7 (36%)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обеспечение детей-сирот, детей, оставшихся без попечения родителей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2,9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2,9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0,0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стипендиальный фонд студентов СПО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7,0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7,2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+ 0,2 (3%)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возмещение расходов специалистам на селе, связанных с оплатой коммунальных услуг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1,6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1,7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+0,1 (6%)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компенсацию расходов  на оплату стоимости проезда и провоза багажа к месту использования отпуска и обратно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16,2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19,8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+ 3,6 (22%)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создание единой архивной информационной системы Архангельской области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10,0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5,0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5,0 (50%)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на укрепление материально-</w:t>
                  </w:r>
                  <w:r w:rsidRPr="00CF36FF">
                    <w:lastRenderedPageBreak/>
                    <w:t xml:space="preserve">технической базы государственных учреждений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 xml:space="preserve">66,0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29,9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36,1 (55%)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bCs/>
              </w:rPr>
              <w:t>Финансовое обеспечение деятельности</w:t>
            </w:r>
            <w:r w:rsidRPr="00CF36FF">
              <w:t xml:space="preserve"> 21 государственного учреждения (трех образовательных учреждений в сфере культуры, 15 учреждений культуры, научно-производственного центра по охране памятников истории </w:t>
            </w:r>
            <w:r w:rsidRPr="00CF36FF">
              <w:br/>
              <w:t>и культуры, архива Архангельской области и туристско-информационного центра Архангельской области):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rPr>
                <w:bCs/>
              </w:rPr>
              <w:t>млн. 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863"/>
              <w:gridCol w:w="1418"/>
              <w:gridCol w:w="1134"/>
              <w:gridCol w:w="1134"/>
            </w:tblGrid>
            <w:tr w:rsidR="00A4340C" w:rsidRPr="00CF36FF" w:rsidTr="00563F61">
              <w:tc>
                <w:tcPr>
                  <w:tcW w:w="286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Направление расходов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Утверждено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Cs/>
                    </w:rPr>
                    <w:t>на 2020 год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 xml:space="preserve">Предусмотрено </w:t>
                  </w:r>
                  <w:r w:rsidRPr="00CF36FF">
                    <w:rPr>
                      <w:bCs/>
                    </w:rPr>
                    <w:br/>
                    <w:t>на 2021 год</w:t>
                  </w:r>
                </w:p>
              </w:tc>
              <w:tc>
                <w:tcPr>
                  <w:tcW w:w="1134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highlight w:val="lightGray"/>
                    </w:rPr>
                  </w:pPr>
                  <w:r w:rsidRPr="00CF36FF">
                    <w:rPr>
                      <w:bCs/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bCs/>
                      <w:highlight w:val="lightGray"/>
                    </w:rPr>
                    <w:br/>
                    <w:t xml:space="preserve">к 2020 году </w:t>
                  </w:r>
                </w:p>
              </w:tc>
            </w:tr>
            <w:tr w:rsidR="00A4340C" w:rsidRPr="00CF36FF" w:rsidTr="00563F61">
              <w:trPr>
                <w:trHeight w:val="239"/>
              </w:trPr>
              <w:tc>
                <w:tcPr>
                  <w:tcW w:w="286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/>
                    </w:rPr>
                    <w:t>ВСЕГО, в т.ч.: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 xml:space="preserve">1 252,5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 xml:space="preserve">1 208,2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– 44,3 (4%)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расходы на оплату труда  работников подведомственных учреждений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950,4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971,2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+ 20,8 (2%)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расходы на оплату коммунальных услуг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81,0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84,2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+ 3,2 (4%)</w:t>
                  </w:r>
                </w:p>
              </w:tc>
            </w:tr>
            <w:tr w:rsidR="00A4340C" w:rsidRPr="00CF36FF" w:rsidTr="00563F61">
              <w:tc>
                <w:tcPr>
                  <w:tcW w:w="286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расходы на уплату налогов </w:t>
                  </w:r>
                </w:p>
              </w:tc>
              <w:tc>
                <w:tcPr>
                  <w:tcW w:w="141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41,0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41,0 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0,0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Комитет отмечает, что:</w:t>
            </w:r>
          </w:p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  <w:proofErr w:type="gramStart"/>
            <w:r w:rsidRPr="00CF36FF">
              <w:t>расходы на заработную плату работников учреждений культуры увеличены 2,2 процента (повышение оплаты труда указных категорий предусмотрено исходя из среднемесячной заработной платы в размере 44 571,84 рублей (что составляет 95,2 процентов дохода от трудовой деятельности на 2021 год (46 797 рублей)).</w:t>
            </w:r>
            <w:proofErr w:type="gramEnd"/>
            <w:r w:rsidRPr="00CF36FF">
              <w:t xml:space="preserve"> Индексация </w:t>
            </w:r>
            <w:proofErr w:type="gramStart"/>
            <w:r w:rsidRPr="00CF36FF">
              <w:t>фондов оплаты труда иных категорий работников</w:t>
            </w:r>
            <w:proofErr w:type="gramEnd"/>
            <w:r w:rsidRPr="00CF36FF">
              <w:t xml:space="preserve"> предусмотрена с 1 октября 2021 года </w:t>
            </w:r>
            <w:r w:rsidRPr="00CF36FF">
              <w:br/>
            </w:r>
            <w:r w:rsidRPr="00CF36FF">
              <w:lastRenderedPageBreak/>
              <w:t>на 4 процента;</w:t>
            </w:r>
          </w:p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расходы на оплату коммунальных услуг и социальные выплаты отдельным категориям граждан, связанные с оплатой жилищно-коммунальных услуг, проиндексированы на 4 процента.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Проведение мероприятий и поддержка некоммерческих организаций в сфере культуры: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rPr>
                <w:bCs/>
              </w:rPr>
              <w:t>млн. рублей</w:t>
            </w:r>
          </w:p>
          <w:tbl>
            <w:tblPr>
              <w:tblW w:w="6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05"/>
              <w:gridCol w:w="1134"/>
              <w:gridCol w:w="1134"/>
              <w:gridCol w:w="992"/>
            </w:tblGrid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80CA0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80CA0">
                    <w:rPr>
                      <w:bCs/>
                    </w:rPr>
                    <w:t>Направление расходов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rPr>
                      <w:bCs/>
                    </w:rPr>
                    <w:t>Утверждено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rPr>
                      <w:bCs/>
                    </w:rPr>
                    <w:t>на 2020 год</w:t>
                  </w:r>
                  <w:r w:rsidRPr="00CF36FF"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rPr>
                      <w:bCs/>
                    </w:rPr>
                    <w:t xml:space="preserve">Предусмотрено 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 2021 год</w:t>
                  </w: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bCs/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bCs/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Проведение мероприятий в сфере культуры (выплата стипендий и премий Губернатора, выплаты почетным работникам культуры)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1,4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 xml:space="preserve">1,0 </w:t>
                  </w: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0,4 (29%)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Поддержка творческой деятельности </w:t>
                  </w:r>
                  <w:r w:rsidRPr="00CF36FF">
                    <w:br/>
                    <w:t xml:space="preserve">и техническое оснащение детских </w:t>
                  </w:r>
                  <w:r w:rsidRPr="00CF36FF">
                    <w:br/>
                    <w:t>и кукольных театров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18,6 (в т.ч. ФБ – 10,3)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16,3 (в т.ч. ФБ – 14,6)</w:t>
                  </w: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2,3 (12%)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Поддержка некоммерческих организаций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9,3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14,0</w:t>
                  </w: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+ 4,7 (50%)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</w:pPr>
                  <w:r w:rsidRPr="00CF36FF">
                    <w:rPr>
                      <w:bCs/>
                      <w:kern w:val="24"/>
                    </w:rPr>
                    <w:t xml:space="preserve">Гранты Губернатора Архангельской области для поддержки проектов регионального значения в сфере культуры и искусства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</w:pPr>
                  <w:r w:rsidRPr="00CF36FF">
                    <w:rPr>
                      <w:bCs/>
                      <w:kern w:val="24"/>
                    </w:rPr>
                    <w:t xml:space="preserve">6,3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</w:pPr>
                  <w:r w:rsidRPr="00CF36FF">
                    <w:rPr>
                      <w:bCs/>
                      <w:kern w:val="24"/>
                    </w:rPr>
                    <w:t xml:space="preserve">10,0 </w:t>
                  </w: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  <w:rPr>
                      <w:highlight w:val="lightGray"/>
                    </w:rPr>
                  </w:pPr>
                  <w:r w:rsidRPr="00CF36FF">
                    <w:rPr>
                      <w:kern w:val="24"/>
                      <w:highlight w:val="lightGray"/>
                    </w:rPr>
                    <w:t>+ 3,7 (59%)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  <w:rPr>
                      <w:bCs/>
                      <w:kern w:val="24"/>
                    </w:rPr>
                  </w:pPr>
                  <w:r w:rsidRPr="00CF36FF">
                    <w:t xml:space="preserve">Субсидии региональным отделениям Союза </w:t>
                  </w:r>
                  <w:r w:rsidRPr="00CF36FF">
                    <w:lastRenderedPageBreak/>
                    <w:t xml:space="preserve">художников России, Союза писателей России, Союза театральных деятелей </w:t>
                  </w:r>
                  <w:r w:rsidRPr="00CF36FF">
                    <w:br/>
                    <w:t>и Союза кинематографистов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  <w:rPr>
                      <w:bCs/>
                      <w:kern w:val="24"/>
                    </w:rPr>
                  </w:pPr>
                  <w:r w:rsidRPr="00CF36FF">
                    <w:rPr>
                      <w:bCs/>
                      <w:kern w:val="24"/>
                    </w:rPr>
                    <w:lastRenderedPageBreak/>
                    <w:t>3,0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  <w:rPr>
                      <w:bCs/>
                      <w:kern w:val="24"/>
                    </w:rPr>
                  </w:pPr>
                  <w:r w:rsidRPr="00CF36FF">
                    <w:rPr>
                      <w:bCs/>
                      <w:kern w:val="24"/>
                    </w:rPr>
                    <w:t>4,0</w:t>
                  </w:r>
                </w:p>
              </w:tc>
              <w:tc>
                <w:tcPr>
                  <w:tcW w:w="99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textAlignment w:val="baseline"/>
                    <w:rPr>
                      <w:kern w:val="24"/>
                      <w:highlight w:val="lightGray"/>
                    </w:rPr>
                  </w:pPr>
                  <w:r w:rsidRPr="00CF36FF">
                    <w:rPr>
                      <w:kern w:val="24"/>
                      <w:highlight w:val="lightGray"/>
                    </w:rPr>
                    <w:t>+ 1,0 (33%)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lastRenderedPageBreak/>
              <w:t>Комитет отмечает, что на 2021 год: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впервые предусмотрена субсидия Союзу кинематографистов;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не предусмотрены отдельные целевые расходы на реализацию Международного фестиваля Уличных театров (в 2020 году 4,0 млн. рублей),</w:t>
            </w:r>
            <w:r w:rsidR="00D571D9">
              <w:t xml:space="preserve"> </w:t>
            </w:r>
            <w:r w:rsidRPr="00CF36FF">
              <w:t xml:space="preserve">и Международного театрально-музыкального фестиваля </w:t>
            </w:r>
            <w:r w:rsidRPr="00CF36FF">
              <w:rPr>
                <w:b/>
              </w:rPr>
              <w:t>«</w:t>
            </w:r>
            <w:r w:rsidRPr="00CF36FF">
              <w:t>Европейская весна</w:t>
            </w:r>
            <w:r w:rsidRPr="00CF36FF">
              <w:rPr>
                <w:b/>
              </w:rPr>
              <w:t>»</w:t>
            </w:r>
            <w:r w:rsidRPr="00CF36FF">
              <w:t xml:space="preserve"> (в 2020 году – 1,0 млн. рублей).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Субсидии для муниципальных учреждений культуры предусмотрены в размере 30,8 млн. рублей, в том числе за счет средств областного бюджета: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rPr>
                <w:bCs/>
              </w:rPr>
              <w:t>млн. 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005"/>
              <w:gridCol w:w="1134"/>
              <w:gridCol w:w="1134"/>
              <w:gridCol w:w="1276"/>
            </w:tblGrid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Направление субсидии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Утверждено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на 2020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Предусмотрено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на 2021 год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-108" w:right="34" w:firstLine="34"/>
                    <w:jc w:val="center"/>
                    <w:rPr>
                      <w:highlight w:val="lightGray"/>
                    </w:rPr>
                  </w:pPr>
                  <w:r w:rsidRPr="00CF36FF">
                    <w:rPr>
                      <w:bCs/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bCs/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Комплектование книжных фондов муниципальных общедоступных библиотек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7,4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7,4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0,0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Реализация проекта «ЛЮБО-ДОРОГО»</w:t>
                  </w:r>
                  <w:r w:rsidRPr="00CF36FF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3,5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3,5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0,0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Реализация проектов в сфере туризма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3,5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3,5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0,0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Подключение муниципальных общедоступных библиотек к сети </w:t>
                  </w:r>
                  <w:r w:rsidRPr="00CF36FF">
                    <w:lastRenderedPageBreak/>
                    <w:t>«Интернет» и развитие библиотечного дела, расширение информационных  технологий и оцифровки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0,3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0,5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+ 0,2 (67%)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Ремонт и приспособление помещений для хранения архивных фондов муниципальных образований Архангельской области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17,0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0,0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17,0 (100%)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Ремонт зданий муниципальных учреждений культуры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10,0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0,0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10,0</w:t>
                  </w:r>
                  <w:r w:rsidRPr="00CF36FF">
                    <w:rPr>
                      <w:b/>
                      <w:bCs/>
                      <w:highlight w:val="lightGray"/>
                    </w:rPr>
                    <w:t xml:space="preserve"> </w:t>
                  </w:r>
                  <w:r w:rsidRPr="00CF36FF">
                    <w:rPr>
                      <w:bCs/>
                      <w:highlight w:val="lightGray"/>
                    </w:rPr>
                    <w:t>(100%)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Оснащение детских школ искусств Архангельской области по видам искусств музыкальными инструментами, оборудованием и учебными материалами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color w:val="FF0000"/>
                    </w:rPr>
                  </w:pPr>
                  <w:r w:rsidRPr="00CF36FF">
                    <w:t>48,9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color w:val="FF0000"/>
                    </w:rPr>
                  </w:pPr>
                  <w:r w:rsidRPr="00CF36FF">
                    <w:t>0,0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48,9</w:t>
                  </w:r>
                  <w:r w:rsidRPr="00CF36FF">
                    <w:rPr>
                      <w:b/>
                      <w:bCs/>
                      <w:highlight w:val="lightGray"/>
                    </w:rPr>
                    <w:t xml:space="preserve"> </w:t>
                  </w:r>
                  <w:r w:rsidRPr="00CF36FF">
                    <w:rPr>
                      <w:bCs/>
                      <w:highlight w:val="lightGray"/>
                    </w:rPr>
                    <w:t>(100%)</w:t>
                  </w:r>
                </w:p>
              </w:tc>
            </w:tr>
            <w:tr w:rsidR="00A4340C" w:rsidRPr="00CF36FF" w:rsidTr="00D571D9">
              <w:tc>
                <w:tcPr>
                  <w:tcW w:w="3005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Государственная поддержка лучших работников и лучших муниципальных учреждений культуры, находящихся на территории сельских поселений 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1,7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+ 0,5 (42%)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proofErr w:type="gramStart"/>
            <w:r w:rsidRPr="00CF36FF">
              <w:rPr>
                <w:bCs/>
              </w:rPr>
              <w:t xml:space="preserve">Комитет отмечает, что однократное, а не ежегодное, выделение субсидий (например, на ремонт помещений архивов) приводит к неэффективному их освоению, т.к. муниципальные образования не успевают своевременно </w:t>
            </w:r>
            <w:r w:rsidRPr="00CF36FF">
              <w:rPr>
                <w:bCs/>
              </w:rPr>
              <w:lastRenderedPageBreak/>
              <w:t>подготовить проектно-сметную документацию, провести ее государственную экспертизу, предусмотреть софинансирование из местных бюджетов.</w:t>
            </w:r>
            <w:proofErr w:type="gramEnd"/>
            <w:r w:rsidRPr="00CF36FF">
              <w:rPr>
                <w:bCs/>
              </w:rPr>
              <w:t xml:space="preserve"> При этом их готовность к участию в конкурсе на следующий год оказывается невостребованной, т.к. субсидия на данные мероприятия уже не выделяется.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>За счет средств областного и федерального бюджетов: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rPr>
                <w:bCs/>
              </w:rPr>
              <w:t>млн. 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38"/>
              <w:gridCol w:w="709"/>
              <w:gridCol w:w="709"/>
              <w:gridCol w:w="708"/>
              <w:gridCol w:w="709"/>
              <w:gridCol w:w="1276"/>
            </w:tblGrid>
            <w:tr w:rsidR="00A4340C" w:rsidRPr="00CF36FF" w:rsidTr="00D571D9">
              <w:tc>
                <w:tcPr>
                  <w:tcW w:w="2438" w:type="dxa"/>
                  <w:vMerge w:val="restart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Направление субсидии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Утверждено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на 2020 год</w:t>
                  </w: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rPr>
                      <w:bCs/>
                    </w:rPr>
                    <w:t>Предусмотрено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на 2021 год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left="-108" w:right="34" w:firstLine="34"/>
                    <w:jc w:val="center"/>
                    <w:rPr>
                      <w:highlight w:val="lightGray"/>
                    </w:rPr>
                  </w:pPr>
                  <w:proofErr w:type="spellStart"/>
                  <w:proofErr w:type="gramStart"/>
                  <w:r w:rsidRPr="00CF36FF">
                    <w:rPr>
                      <w:bCs/>
                      <w:highlight w:val="lightGray"/>
                    </w:rPr>
                    <w:t>Отклоне</w:t>
                  </w:r>
                  <w:r w:rsidR="00D571D9">
                    <w:rPr>
                      <w:bCs/>
                      <w:highlight w:val="lightGray"/>
                    </w:rPr>
                    <w:t>-</w:t>
                  </w:r>
                  <w:r w:rsidRPr="00CF36FF">
                    <w:rPr>
                      <w:bCs/>
                      <w:highlight w:val="lightGray"/>
                    </w:rPr>
                    <w:t>ние</w:t>
                  </w:r>
                  <w:proofErr w:type="spellEnd"/>
                  <w:proofErr w:type="gramEnd"/>
                  <w:r w:rsidRPr="00CF36FF">
                    <w:rPr>
                      <w:bCs/>
                      <w:highlight w:val="lightGray"/>
                    </w:rPr>
                    <w:t xml:space="preserve"> </w:t>
                  </w:r>
                  <w:r w:rsidRPr="00CF36FF">
                    <w:rPr>
                      <w:bCs/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D571D9">
              <w:tc>
                <w:tcPr>
                  <w:tcW w:w="2438" w:type="dxa"/>
                  <w:vMerge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ОБ</w:t>
                  </w:r>
                </w:p>
              </w:tc>
              <w:tc>
                <w:tcPr>
                  <w:tcW w:w="709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ФБ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ОБ</w:t>
                  </w:r>
                </w:p>
              </w:tc>
              <w:tc>
                <w:tcPr>
                  <w:tcW w:w="709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ФБ</w:t>
                  </w:r>
                </w:p>
              </w:tc>
              <w:tc>
                <w:tcPr>
                  <w:tcW w:w="1276" w:type="dxa"/>
                  <w:vMerge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  <w:highlight w:val="lightGray"/>
                    </w:rPr>
                  </w:pPr>
                </w:p>
              </w:tc>
            </w:tr>
            <w:tr w:rsidR="00A4340C" w:rsidRPr="00CF36FF" w:rsidTr="00D571D9">
              <w:tc>
                <w:tcPr>
                  <w:tcW w:w="243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Обеспечение развития и укрепление материально-технической  базы муниципальных домов культуры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0,9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7,8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0,9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7,9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0,1 (1%)</w:t>
                  </w:r>
                </w:p>
              </w:tc>
            </w:tr>
            <w:tr w:rsidR="00A4340C" w:rsidRPr="00CF36FF" w:rsidTr="00D571D9">
              <w:tc>
                <w:tcPr>
                  <w:tcW w:w="243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Поддержка творческой деятельности муниципальных театров в городах с населением до 300 тыс. чел. 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1,1</w:t>
                  </w:r>
                  <w:r w:rsidRPr="00CF36FF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9,3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0,5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4,9 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5 (48%)</w:t>
                  </w:r>
                </w:p>
              </w:tc>
            </w:tr>
            <w:tr w:rsidR="00A4340C" w:rsidRPr="00CF36FF" w:rsidTr="00D571D9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Обеспечение развития и укрепления материально-технической базы домов культуры в </w:t>
                  </w:r>
                  <w:r w:rsidRPr="00CF36FF">
                    <w:lastRenderedPageBreak/>
                    <w:t>населенных пунктах с числом жителей до 50 тысяч человек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0,9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7,8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0,6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7,9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0,2 (2%)</w:t>
                  </w:r>
                </w:p>
              </w:tc>
            </w:tr>
            <w:tr w:rsidR="00A4340C" w:rsidRPr="00CF36FF" w:rsidTr="00D571D9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 xml:space="preserve">Создание (реконструкция) и капитальный ремонт учреждений </w:t>
                  </w:r>
                  <w:proofErr w:type="spellStart"/>
                  <w:r w:rsidRPr="00CF36FF">
                    <w:t>культурно-досугового</w:t>
                  </w:r>
                  <w:proofErr w:type="spellEnd"/>
                  <w:r w:rsidRPr="00CF36FF">
                    <w:t xml:space="preserve"> типа в сельской местности 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2,4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22,0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3,3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29,8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+ 8,7 (35%)</w:t>
                  </w:r>
                </w:p>
              </w:tc>
            </w:tr>
            <w:tr w:rsidR="00A4340C" w:rsidRPr="00CF36FF" w:rsidTr="00D571D9">
              <w:tc>
                <w:tcPr>
                  <w:tcW w:w="24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Реализация мероприятий по модернизации муниципальных детских школ искусств по видам искусств 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1,3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11,9</w:t>
                  </w:r>
                </w:p>
              </w:tc>
              <w:tc>
                <w:tcPr>
                  <w:tcW w:w="1276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+ 13,2 (впервые)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color w:val="000000"/>
              </w:rPr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color w:val="000000"/>
              </w:rPr>
            </w:pPr>
            <w:r w:rsidRPr="00CF36FF">
              <w:rPr>
                <w:color w:val="000000"/>
              </w:rPr>
              <w:t>Также впервые в 2021 году предусмотрены бюджетные инвестиции из областного бюджета министерству строительства Архангельской области: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proofErr w:type="gramStart"/>
            <w:r w:rsidRPr="00CF36FF">
              <w:t xml:space="preserve">15,6 млн. рублей на реконструкцию объекта культурного наследия регионального значения «Коммерческий банк» </w:t>
            </w:r>
            <w:r w:rsidR="00D571D9">
              <w:br/>
            </w:r>
            <w:r w:rsidRPr="00CF36FF">
              <w:t xml:space="preserve">(г. Архангельск, </w:t>
            </w:r>
            <w:proofErr w:type="spellStart"/>
            <w:r w:rsidRPr="00CF36FF">
              <w:t>наб</w:t>
            </w:r>
            <w:proofErr w:type="spellEnd"/>
            <w:r w:rsidRPr="00CF36FF">
              <w:t>.</w:t>
            </w:r>
            <w:proofErr w:type="gramEnd"/>
            <w:r w:rsidRPr="00CF36FF">
              <w:t> Северной Двины, д. 76/2);</w:t>
            </w:r>
          </w:p>
          <w:p w:rsidR="00A4340C" w:rsidRPr="00CF36FF" w:rsidRDefault="00A4340C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 xml:space="preserve">10,8 млн. рублей на строительство здания </w:t>
            </w:r>
            <w:proofErr w:type="spellStart"/>
            <w:r w:rsidRPr="00CF36FF">
              <w:rPr>
                <w:sz w:val="24"/>
                <w:szCs w:val="24"/>
              </w:rPr>
              <w:t>фондохранилища</w:t>
            </w:r>
            <w:proofErr w:type="spellEnd"/>
            <w:r w:rsidRPr="00CF36FF">
              <w:rPr>
                <w:sz w:val="24"/>
                <w:szCs w:val="24"/>
              </w:rPr>
              <w:t xml:space="preserve"> государственного бюджетного учреждения культуры Архангельской области «Государственное музейное объединение «Художественная культура Русского Севера» </w:t>
            </w:r>
            <w:r w:rsidR="00D571D9">
              <w:rPr>
                <w:sz w:val="24"/>
                <w:szCs w:val="24"/>
              </w:rPr>
              <w:br/>
            </w:r>
            <w:r w:rsidRPr="00CF36FF">
              <w:rPr>
                <w:sz w:val="24"/>
                <w:szCs w:val="24"/>
              </w:rPr>
              <w:t>в г. Архангельске.</w:t>
            </w:r>
          </w:p>
          <w:p w:rsidR="00A4340C" w:rsidRDefault="00A4340C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</w:p>
          <w:p w:rsidR="00D571D9" w:rsidRDefault="00D571D9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</w:p>
          <w:p w:rsidR="00D571D9" w:rsidRDefault="00D571D9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</w:p>
          <w:p w:rsidR="00D571D9" w:rsidRDefault="00D571D9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</w:p>
          <w:p w:rsidR="00D571D9" w:rsidRPr="00CF36FF" w:rsidRDefault="00D571D9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</w:p>
          <w:p w:rsidR="00A4340C" w:rsidRPr="00CF36FF" w:rsidRDefault="00A4340C" w:rsidP="00CF36FF">
            <w:pPr>
              <w:pStyle w:val="ConsPlusNormal"/>
              <w:widowControl w:val="0"/>
              <w:ind w:right="34" w:firstLine="34"/>
              <w:jc w:val="both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lastRenderedPageBreak/>
              <w:t xml:space="preserve">Реализация мероприятий национального проекта «Культура» </w:t>
            </w:r>
            <w:r w:rsidRPr="00CF36FF">
              <w:rPr>
                <w:sz w:val="24"/>
                <w:szCs w:val="24"/>
              </w:rPr>
              <w:br/>
              <w:t>в Архангельской области: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79"/>
              <w:gridCol w:w="2126"/>
              <w:gridCol w:w="709"/>
              <w:gridCol w:w="709"/>
              <w:gridCol w:w="708"/>
              <w:gridCol w:w="709"/>
              <w:gridCol w:w="709"/>
            </w:tblGrid>
            <w:tr w:rsidR="00A4340C" w:rsidRPr="00CF36FF" w:rsidTr="00D571D9">
              <w:tc>
                <w:tcPr>
                  <w:tcW w:w="879" w:type="dxa"/>
                  <w:vMerge w:val="restart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</w:p>
              </w:tc>
              <w:tc>
                <w:tcPr>
                  <w:tcW w:w="2126" w:type="dxa"/>
                  <w:vMerge w:val="restart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1418" w:type="dxa"/>
                  <w:gridSpan w:val="2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1417" w:type="dxa"/>
                  <w:gridSpan w:val="2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C0C0C0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  <w:highlight w:val="lightGray"/>
                    </w:rPr>
                    <w:t>Отклонение к 2020 году</w:t>
                  </w:r>
                </w:p>
              </w:tc>
            </w:tr>
            <w:tr w:rsidR="00D571D9" w:rsidRPr="00CF36FF" w:rsidTr="00D571D9">
              <w:tc>
                <w:tcPr>
                  <w:tcW w:w="879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</w:p>
              </w:tc>
              <w:tc>
                <w:tcPr>
                  <w:tcW w:w="2126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571D9">
                    <w:rPr>
                      <w:bCs/>
                      <w:sz w:val="22"/>
                      <w:szCs w:val="22"/>
                    </w:rPr>
                    <w:t>ОБ</w:t>
                  </w:r>
                </w:p>
              </w:tc>
              <w:tc>
                <w:tcPr>
                  <w:tcW w:w="709" w:type="dxa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571D9">
                    <w:rPr>
                      <w:bCs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571D9">
                    <w:rPr>
                      <w:bCs/>
                      <w:sz w:val="22"/>
                      <w:szCs w:val="22"/>
                    </w:rPr>
                    <w:t>ОБ</w:t>
                  </w:r>
                </w:p>
              </w:tc>
              <w:tc>
                <w:tcPr>
                  <w:tcW w:w="709" w:type="dxa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571D9">
                    <w:rPr>
                      <w:bCs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709" w:type="dxa"/>
                  <w:vMerge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highlight w:val="lightGray"/>
                    </w:rPr>
                  </w:pPr>
                </w:p>
              </w:tc>
            </w:tr>
            <w:tr w:rsidR="00D571D9" w:rsidRPr="00CF36FF" w:rsidTr="00D571D9">
              <w:tc>
                <w:tcPr>
                  <w:tcW w:w="879" w:type="dxa"/>
                  <w:vMerge w:val="restart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0"/>
                      <w:szCs w:val="20"/>
                    </w:rPr>
                  </w:pPr>
                  <w:r w:rsidRPr="00D571D9">
                    <w:rPr>
                      <w:sz w:val="20"/>
                      <w:szCs w:val="20"/>
                    </w:rPr>
                    <w:t>Национальный проект «Культурная среда»</w:t>
                  </w:r>
                </w:p>
                <w:p w:rsidR="00A4340C" w:rsidRPr="00CF36FF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b/>
                      <w:sz w:val="24"/>
                      <w:szCs w:val="24"/>
                    </w:rPr>
                  </w:pPr>
                  <w:r w:rsidRPr="00D571D9">
                    <w:rPr>
                      <w:b/>
                      <w:sz w:val="20"/>
                      <w:szCs w:val="20"/>
                    </w:rPr>
                    <w:t>(всего 76,7 млн. руб.)</w:t>
                  </w:r>
                </w:p>
              </w:tc>
              <w:tc>
                <w:tcPr>
                  <w:tcW w:w="2126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 xml:space="preserve">Создание (реконструкция) и капитальный ремонт учреждений </w:t>
                  </w:r>
                  <w:proofErr w:type="spellStart"/>
                  <w:r w:rsidRPr="00D571D9">
                    <w:rPr>
                      <w:sz w:val="22"/>
                      <w:szCs w:val="22"/>
                    </w:rPr>
                    <w:t>культурно-досугового</w:t>
                  </w:r>
                  <w:proofErr w:type="spellEnd"/>
                  <w:r w:rsidRPr="00D571D9">
                    <w:rPr>
                      <w:sz w:val="22"/>
                      <w:szCs w:val="22"/>
                    </w:rPr>
                    <w:t xml:space="preserve"> типа в сельской местности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2,4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709" w:type="dxa"/>
                  <w:shd w:val="clear" w:color="auto" w:fill="C0C0C0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  <w:highlight w:val="lightGray"/>
                    </w:rPr>
                    <w:t>+ 8,8 (36 %)</w:t>
                  </w:r>
                </w:p>
              </w:tc>
            </w:tr>
            <w:tr w:rsidR="00D571D9" w:rsidRPr="00CF36FF" w:rsidTr="00D571D9">
              <w:tc>
                <w:tcPr>
                  <w:tcW w:w="879" w:type="dxa"/>
                  <w:vMerge/>
                </w:tcPr>
                <w:p w:rsidR="00A4340C" w:rsidRPr="00CF36FF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Оснащение образовательных учреждений в сфере культуры музыкальными инструментами, оборудованием и учебными материалами</w:t>
                  </w:r>
                </w:p>
              </w:tc>
              <w:tc>
                <w:tcPr>
                  <w:tcW w:w="709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jc w:val="both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-</w:t>
                  </w:r>
                </w:p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jc w:val="both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-</w:t>
                  </w:r>
                </w:p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jc w:val="both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709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709" w:type="dxa"/>
                  <w:shd w:val="clear" w:color="auto" w:fill="C0C0C0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  <w:highlight w:val="lightGray"/>
                    </w:rPr>
                    <w:t>+ 20,3 (100%)</w:t>
                  </w:r>
                </w:p>
              </w:tc>
            </w:tr>
            <w:tr w:rsidR="00D571D9" w:rsidRPr="00CF36FF" w:rsidTr="00D571D9">
              <w:tc>
                <w:tcPr>
                  <w:tcW w:w="879" w:type="dxa"/>
                  <w:vMerge/>
                </w:tcPr>
                <w:p w:rsidR="00A4340C" w:rsidRPr="00CF36FF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Создание  модельных муниципальных библиотек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 xml:space="preserve">10,0  </w:t>
                  </w:r>
                </w:p>
              </w:tc>
              <w:tc>
                <w:tcPr>
                  <w:tcW w:w="709" w:type="dxa"/>
                  <w:shd w:val="clear" w:color="auto" w:fill="C0C0C0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  <w:highlight w:val="lightGray"/>
                    </w:rPr>
                    <w:t>+4,5 (82%)</w:t>
                  </w:r>
                </w:p>
              </w:tc>
            </w:tr>
            <w:tr w:rsidR="00D571D9" w:rsidRPr="00CF36FF" w:rsidTr="00D571D9">
              <w:tc>
                <w:tcPr>
                  <w:tcW w:w="879" w:type="dxa"/>
                  <w:vMerge/>
                </w:tcPr>
                <w:p w:rsidR="00A4340C" w:rsidRPr="00CF36FF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Модернизация (Капитальный ремонт, реконструкция) региональных и муниципальных школ искусств по видам искусств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–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–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11,9</w:t>
                  </w:r>
                </w:p>
              </w:tc>
              <w:tc>
                <w:tcPr>
                  <w:tcW w:w="709" w:type="dxa"/>
                  <w:shd w:val="clear" w:color="auto" w:fill="C0C0C0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  <w:highlight w:val="lightGray"/>
                    </w:rPr>
                    <w:t>+13,2 (впервые)</w:t>
                  </w:r>
                </w:p>
              </w:tc>
            </w:tr>
            <w:tr w:rsidR="00D571D9" w:rsidRPr="00CF36FF" w:rsidTr="00D571D9">
              <w:tc>
                <w:tcPr>
                  <w:tcW w:w="879" w:type="dxa"/>
                </w:tcPr>
                <w:p w:rsidR="00A4340C" w:rsidRPr="00D571D9" w:rsidRDefault="00A4340C" w:rsidP="00CF36FF">
                  <w:pPr>
                    <w:pStyle w:val="ConsPlusNormal"/>
                    <w:widowControl w:val="0"/>
                    <w:ind w:right="34" w:firstLine="34"/>
                    <w:rPr>
                      <w:sz w:val="20"/>
                      <w:szCs w:val="20"/>
                    </w:rPr>
                  </w:pPr>
                  <w:r w:rsidRPr="00D571D9">
                    <w:rPr>
                      <w:sz w:val="20"/>
                      <w:szCs w:val="20"/>
                    </w:rPr>
                    <w:lastRenderedPageBreak/>
                    <w:t>Национальный проект «Цифровая культура»</w:t>
                  </w:r>
                </w:p>
              </w:tc>
              <w:tc>
                <w:tcPr>
                  <w:tcW w:w="2126" w:type="dxa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708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</w:rPr>
                  </w:pPr>
                  <w:r w:rsidRPr="00D571D9">
                    <w:rPr>
                      <w:sz w:val="22"/>
                      <w:szCs w:val="22"/>
                    </w:rPr>
                    <w:t xml:space="preserve">2,5 </w:t>
                  </w:r>
                </w:p>
              </w:tc>
              <w:tc>
                <w:tcPr>
                  <w:tcW w:w="709" w:type="dxa"/>
                  <w:shd w:val="clear" w:color="auto" w:fill="C0C0C0"/>
                  <w:vAlign w:val="center"/>
                </w:tcPr>
                <w:p w:rsidR="00A4340C" w:rsidRPr="00D571D9" w:rsidRDefault="00A4340C" w:rsidP="00CF36FF">
                  <w:pPr>
                    <w:widowControl w:val="0"/>
                    <w:ind w:right="34" w:firstLine="34"/>
                    <w:rPr>
                      <w:sz w:val="22"/>
                      <w:szCs w:val="22"/>
                      <w:highlight w:val="lightGray"/>
                    </w:rPr>
                  </w:pPr>
                  <w:r w:rsidRPr="00D571D9">
                    <w:rPr>
                      <w:sz w:val="22"/>
                      <w:szCs w:val="22"/>
                      <w:highlight w:val="lightGray"/>
                    </w:rPr>
                    <w:t>– 1,2 (32%)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Комитет отмечает, что необходимо рассматривать вопрос увеличения расходов: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при подготовке ко второму чтению – на </w:t>
            </w:r>
            <w:r w:rsidRPr="00CF36FF">
              <w:rPr>
                <w:color w:val="000000"/>
              </w:rPr>
              <w:t xml:space="preserve">капитальный ремонт </w:t>
            </w:r>
            <w:r w:rsidRPr="00CF36FF">
              <w:rPr>
                <w:color w:val="000000"/>
              </w:rPr>
              <w:br/>
              <w:t>и приспособление помещений для хранения архивных фондов муниципальных образований Архангельской области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в течение 2021 года в ходе исполнения бюджета – на укрепление материально-технической базы государственных учреждений.</w:t>
            </w:r>
          </w:p>
          <w:p w:rsidR="00A4340C" w:rsidRPr="00CF36FF" w:rsidRDefault="00A4340C" w:rsidP="00CF36FF">
            <w:pPr>
              <w:widowControl w:val="0"/>
              <w:tabs>
                <w:tab w:val="left" w:pos="993"/>
              </w:tabs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tabs>
                <w:tab w:val="left" w:pos="993"/>
              </w:tabs>
              <w:ind w:right="34" w:firstLine="34"/>
              <w:jc w:val="both"/>
            </w:pPr>
            <w:r w:rsidRPr="00CF36FF">
              <w:t>2.2.  </w:t>
            </w:r>
            <w:r w:rsidRPr="00CF36FF">
              <w:rPr>
                <w:iCs/>
              </w:rPr>
              <w:t xml:space="preserve">Рассмотрев финансирование государственной программы Архангельской области </w:t>
            </w:r>
            <w:r w:rsidRPr="00CF36FF">
              <w:rPr>
                <w:b/>
              </w:rPr>
              <w:t xml:space="preserve">«Развитие образования и науки Архангельской области» </w:t>
            </w:r>
            <w:r w:rsidRPr="00CF36FF">
              <w:t>(далее – госпрограмма) на 2021 год, комитет отмечает следующее.</w:t>
            </w:r>
          </w:p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  <w:r w:rsidRPr="00CF36FF">
              <w:t>Расходы на реализацию госпрограммы на 2021 – 2023 годы составляют: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 xml:space="preserve">                                                                                                                                            млн. рублей</w:t>
            </w:r>
          </w:p>
          <w:tbl>
            <w:tblPr>
              <w:tblW w:w="6592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3289"/>
              <w:gridCol w:w="1134"/>
              <w:gridCol w:w="1134"/>
              <w:gridCol w:w="1035"/>
            </w:tblGrid>
            <w:tr w:rsidR="00A4340C" w:rsidRPr="00CF36FF" w:rsidTr="00C80CA0">
              <w:trPr>
                <w:trHeight w:val="300"/>
                <w:tblHeader/>
              </w:trPr>
              <w:tc>
                <w:tcPr>
                  <w:tcW w:w="2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Наименование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2021 год (проект)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2022 год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2023 год</w:t>
                  </w:r>
                </w:p>
              </w:tc>
            </w:tr>
            <w:tr w:rsidR="00A4340C" w:rsidRPr="00CF36FF" w:rsidTr="00C80CA0">
              <w:trPr>
                <w:trHeight w:val="420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ВСЕГО расходов по программе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iCs/>
                    </w:rPr>
                  </w:pPr>
                  <w:r w:rsidRPr="00CF36FF">
                    <w:rPr>
                      <w:b/>
                      <w:iCs/>
                    </w:rPr>
                    <w:t>26 464,4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25 189,6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24 238,2</w:t>
                  </w:r>
                </w:p>
              </w:tc>
            </w:tr>
            <w:tr w:rsidR="00A4340C" w:rsidRPr="00CF36FF" w:rsidTr="00C80CA0">
              <w:trPr>
                <w:trHeight w:val="225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i/>
                      <w:iCs/>
                    </w:rPr>
                  </w:pPr>
                  <w:r w:rsidRPr="00CF36FF">
                    <w:rPr>
                      <w:i/>
                      <w:iCs/>
                    </w:rPr>
                    <w:t>в том числе: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4340C" w:rsidRPr="00CF36FF" w:rsidTr="00C80CA0">
              <w:trPr>
                <w:trHeight w:val="316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Подпрограмма «Развитие общего и дополнительного образования»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17 664,8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17 643,5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17 425,8</w:t>
                  </w:r>
                </w:p>
              </w:tc>
            </w:tr>
            <w:tr w:rsidR="00A4340C" w:rsidRPr="00CF36FF" w:rsidTr="00C80CA0">
              <w:trPr>
                <w:trHeight w:val="379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 xml:space="preserve">Подпрограмма «Содержание, обучение, воспитание </w:t>
                  </w:r>
                  <w:r w:rsidRPr="00CF36FF">
                    <w:br/>
                    <w:t>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3 049,7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3 073,4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2 993,2</w:t>
                  </w:r>
                </w:p>
              </w:tc>
            </w:tr>
            <w:tr w:rsidR="00A4340C" w:rsidRPr="00CF36FF" w:rsidTr="00C80CA0">
              <w:trPr>
                <w:trHeight w:val="573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Подпрограмма «Развитие среднего профессионального образования»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2 780,3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2 800,3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2 951,9</w:t>
                  </w:r>
                </w:p>
              </w:tc>
            </w:tr>
            <w:tr w:rsidR="00A4340C" w:rsidRPr="00CF36FF" w:rsidTr="00C80CA0">
              <w:trPr>
                <w:trHeight w:val="559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Подпрограмма «Совершенствование системы предоставления услуг в сфере образования»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673,4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851,1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822,5</w:t>
                  </w:r>
                </w:p>
              </w:tc>
            </w:tr>
            <w:tr w:rsidR="00A4340C" w:rsidRPr="00CF36FF" w:rsidTr="00C80CA0">
              <w:trPr>
                <w:trHeight w:val="518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Подпрограмма «Развитие научного потенциала Архангельской области»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31,5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13,5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13,5</w:t>
                  </w:r>
                </w:p>
              </w:tc>
            </w:tr>
            <w:tr w:rsidR="00A4340C" w:rsidRPr="00CF36FF" w:rsidTr="00C80CA0">
              <w:trPr>
                <w:trHeight w:val="655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Подпрограмма «Наследие М.В. Ломоносова в социально-экономическом и </w:t>
                  </w:r>
                  <w:proofErr w:type="spellStart"/>
                  <w:r w:rsidRPr="00CF36FF">
                    <w:t>социокультурном</w:t>
                  </w:r>
                  <w:proofErr w:type="spellEnd"/>
                  <w:r w:rsidRPr="00CF36FF">
                    <w:t xml:space="preserve"> развитии Архангельской области»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21,4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17,8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15,7</w:t>
                  </w:r>
                </w:p>
              </w:tc>
            </w:tr>
            <w:tr w:rsidR="00A4340C" w:rsidRPr="00CF36FF" w:rsidTr="00C80CA0">
              <w:trPr>
                <w:trHeight w:val="781"/>
              </w:trPr>
              <w:tc>
                <w:tcPr>
                  <w:tcW w:w="24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Подпрограмма «Строительство и капитальный ремонт объектов инфраструктуры системы образования </w:t>
                  </w:r>
                  <w:r w:rsidRPr="00CF36FF">
                    <w:br/>
                    <w:t>в Архангельской области»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2 243,3</w:t>
                  </w:r>
                </w:p>
              </w:tc>
              <w:tc>
                <w:tcPr>
                  <w:tcW w:w="8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790,0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right w:w="85" w:type="dxa"/>
                  </w:tcMar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15,6</w:t>
                  </w:r>
                </w:p>
              </w:tc>
            </w:tr>
          </w:tbl>
          <w:p w:rsidR="00A4340C" w:rsidRDefault="00A4340C" w:rsidP="00CF36FF">
            <w:pPr>
              <w:pStyle w:val="20"/>
              <w:widowControl w:val="0"/>
              <w:ind w:right="34" w:firstLine="34"/>
              <w:rPr>
                <w:b/>
              </w:rPr>
            </w:pPr>
          </w:p>
          <w:p w:rsidR="00C80CA0" w:rsidRPr="00CF36FF" w:rsidRDefault="00C80CA0" w:rsidP="00CF36FF">
            <w:pPr>
              <w:pStyle w:val="20"/>
              <w:widowControl w:val="0"/>
              <w:ind w:right="34" w:firstLine="34"/>
              <w:rPr>
                <w:b/>
              </w:rPr>
            </w:pPr>
          </w:p>
          <w:p w:rsidR="00A4340C" w:rsidRPr="00CF36FF" w:rsidRDefault="00A4340C" w:rsidP="00C80CA0">
            <w:pPr>
              <w:pStyle w:val="20"/>
              <w:widowControl w:val="0"/>
              <w:spacing w:after="0" w:line="240" w:lineRule="auto"/>
              <w:ind w:left="284" w:right="34" w:firstLine="34"/>
              <w:rPr>
                <w:b/>
              </w:rPr>
            </w:pPr>
            <w:r w:rsidRPr="00CF36FF">
              <w:lastRenderedPageBreak/>
              <w:t>Основные направления расходов по госпрограмме составляют:</w:t>
            </w:r>
            <w:r w:rsidRPr="00CF36FF">
              <w:tab/>
            </w: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4938" w:type="pct"/>
              <w:tblLayout w:type="fixed"/>
              <w:tblLook w:val="0000"/>
            </w:tblPr>
            <w:tblGrid>
              <w:gridCol w:w="3574"/>
              <w:gridCol w:w="1011"/>
              <w:gridCol w:w="730"/>
              <w:gridCol w:w="1181"/>
            </w:tblGrid>
            <w:tr w:rsidR="00A4340C" w:rsidRPr="00CF36FF" w:rsidTr="00A4340C">
              <w:trPr>
                <w:cantSplit/>
                <w:trHeight w:val="240"/>
                <w:tblHeader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Наименование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t>Уточненный план 2020 года (на 01.10.2020)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bCs/>
                    </w:rPr>
                    <w:t>2021 год (проект)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Cs/>
                    </w:rPr>
                  </w:pPr>
                  <w:r w:rsidRPr="00CF36FF">
                    <w:rPr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Общий объем с учетом федеральных трансфертов и прочих поступлений, в т.ч.:</w:t>
                  </w:r>
                </w:p>
              </w:tc>
              <w:tc>
                <w:tcPr>
                  <w:tcW w:w="77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iCs/>
                    </w:rPr>
                    <w:t>27 479,9</w:t>
                  </w:r>
                </w:p>
              </w:tc>
              <w:tc>
                <w:tcPr>
                  <w:tcW w:w="5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iCs/>
                    </w:rPr>
                    <w:t>26 464,4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– 1 015,5 (4%)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</w:rPr>
                    <w:t>1. Средства федерального бюджета и прочих целевых поступлений</w:t>
                  </w:r>
                </w:p>
              </w:tc>
              <w:tc>
                <w:tcPr>
                  <w:tcW w:w="77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iCs/>
                    </w:rPr>
                  </w:pPr>
                  <w:r w:rsidRPr="00CF36FF">
                    <w:rPr>
                      <w:b/>
                      <w:iCs/>
                    </w:rPr>
                    <w:t>4 002,7</w:t>
                  </w:r>
                </w:p>
              </w:tc>
              <w:tc>
                <w:tcPr>
                  <w:tcW w:w="5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iCs/>
                    </w:rPr>
                  </w:pPr>
                  <w:r w:rsidRPr="00CF36FF">
                    <w:rPr>
                      <w:b/>
                      <w:iCs/>
                    </w:rPr>
                    <w:t>2 644,7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–1 358,0 (34%)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2. Объем областного бюджета, в т.ч.:</w:t>
                  </w:r>
                </w:p>
              </w:tc>
              <w:tc>
                <w:tcPr>
                  <w:tcW w:w="77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23 477,3</w:t>
                  </w:r>
                </w:p>
              </w:tc>
              <w:tc>
                <w:tcPr>
                  <w:tcW w:w="56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</w:rPr>
                  </w:pPr>
                  <w:r w:rsidRPr="00CF36FF">
                    <w:rPr>
                      <w:b/>
                      <w:bCs/>
                    </w:rPr>
                    <w:t>23 819,7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b/>
                      <w:bCs/>
                      <w:highlight w:val="lightGray"/>
                    </w:rPr>
                  </w:pPr>
                  <w:r w:rsidRPr="00CF36FF">
                    <w:rPr>
                      <w:b/>
                      <w:color w:val="000000"/>
                      <w:highlight w:val="lightGray"/>
                    </w:rPr>
                    <w:t>+ 342,4 (1,5%)</w:t>
                  </w:r>
                </w:p>
              </w:tc>
            </w:tr>
            <w:tr w:rsidR="00A4340C" w:rsidRPr="00CF36FF" w:rsidTr="00A4340C">
              <w:trPr>
                <w:cantSplit/>
                <w:trHeight w:val="284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2.1. Расходы на обеспечение деятельности подведомственных учреждений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5 205,3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5 381,7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+ 176,4 (3,4%)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2.2. Мероприятия в области образования, науки </w:t>
                  </w:r>
                  <w:r w:rsidRPr="00CF36FF">
                    <w:br/>
                    <w:t>и социальной политики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278,0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387,8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+ 109,8 (39%)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2.3. Выплаты семьям опекунов и приемным семьям, на оплату труда приемного родителя, меры социальной поддержки детей-сирот 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528,0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528,9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+ 0,9 (0,2%)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2.4. Межбюджетные трансферты бюджетам муниципальных образований Архангельской области (без учета капитальных вложений), в т.ч.: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16 989,6</w:t>
                  </w:r>
                </w:p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17 157,6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+ 168,0 (1%)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субвенции муниципальным образованиям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16 415,9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16 652,5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+ 236,6 (1,4%)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субсидии  и иные межбюджетные трансферты муниципальным образованиям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573,7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505,1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color w:val="000000"/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– 68,6 (12%)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2.5. Бюджетные инвестиции в объекты капитального строительства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421,1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307,4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color w:val="000000"/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– 113,7 (27%)</w:t>
                  </w:r>
                </w:p>
              </w:tc>
            </w:tr>
            <w:tr w:rsidR="00A4340C" w:rsidRPr="00CF36FF" w:rsidTr="00A4340C">
              <w:trPr>
                <w:cantSplit/>
                <w:trHeight w:val="240"/>
              </w:trPr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2.6. Расходы на содержание государственных органов и обеспечение их функций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55,3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</w:pPr>
                  <w:r w:rsidRPr="00CF36FF">
                    <w:t>56,3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right"/>
                    <w:rPr>
                      <w:color w:val="000000"/>
                      <w:highlight w:val="lightGray"/>
                    </w:rPr>
                  </w:pPr>
                  <w:r w:rsidRPr="00CF36FF">
                    <w:rPr>
                      <w:color w:val="000000"/>
                      <w:highlight w:val="lightGray"/>
                    </w:rPr>
                    <w:t>+1,0 (2%)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Плановый объем финансирования госпрограммы в 2020 году составлял </w:t>
            </w:r>
            <w:r w:rsidRPr="00CF36FF">
              <w:rPr>
                <w:iCs/>
              </w:rPr>
              <w:t xml:space="preserve">27 531,8 </w:t>
            </w:r>
            <w:r w:rsidRPr="00CF36FF">
              <w:t>млн. рублей, по уточненной бюджетной росписи на 01.10.2020 – 27 479,9 млн. рублей (на 4 процента выше прогноза на 2021 год). Снижение расходов обусловлено снижением инвестиций в сфере образования на 49,5 процента (отсутствие масштабного строительства детских садов и школ по сравнению с 2020 годом).</w:t>
            </w:r>
          </w:p>
          <w:p w:rsidR="00A4340C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proofErr w:type="gramStart"/>
            <w:r w:rsidRPr="00CF36FF">
              <w:rPr>
                <w:bCs/>
              </w:rPr>
              <w:t xml:space="preserve">Субвенция на реализацию образовательных программ выросла с </w:t>
            </w:r>
            <w:r w:rsidRPr="00CF36FF">
              <w:t>15 083,4 млн. рублей в 2020 году до 15 416,0 млн. рублей</w:t>
            </w:r>
            <w:r w:rsidRPr="00CF36FF">
              <w:rPr>
                <w:b/>
              </w:rPr>
              <w:t xml:space="preserve"> </w:t>
            </w:r>
            <w:r w:rsidRPr="00CF36FF">
              <w:rPr>
                <w:bCs/>
              </w:rPr>
              <w:t>в 2021 году, т.е. на 333,1 млн. рублей (2 процента) – предусмотрено увеличение на 2 процента расходов на заработную плату работников образовательных организаций, средства обучения, приобретение средств обучения и учебников, а также на дополнительное профессиональное образование педагогических работников.</w:t>
            </w:r>
            <w:proofErr w:type="gramEnd"/>
          </w:p>
          <w:p w:rsidR="00C80CA0" w:rsidRPr="00CF36FF" w:rsidRDefault="00C80CA0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lastRenderedPageBreak/>
              <w:t xml:space="preserve">Межбюджетные трансферты направляются </w:t>
            </w:r>
            <w:proofErr w:type="gramStart"/>
            <w:r w:rsidRPr="00CF36FF">
              <w:t>на</w:t>
            </w:r>
            <w:proofErr w:type="gramEnd"/>
            <w:r w:rsidRPr="00CF36FF">
              <w:t>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6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60"/>
              <w:gridCol w:w="1103"/>
              <w:gridCol w:w="1134"/>
              <w:gridCol w:w="993"/>
              <w:gridCol w:w="1650"/>
            </w:tblGrid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Назначение трансферта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2020 год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2021 год</w:t>
                  </w:r>
                </w:p>
              </w:tc>
              <w:tc>
                <w:tcPr>
                  <w:tcW w:w="1650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50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  <w:highlight w:val="lightGray"/>
                    </w:rPr>
                  </w:pP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 xml:space="preserve">Субвенция на компенсацию родительской платы за содержание ребенка  в дошкольных образовательных организациях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506,3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439,3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67,0 (13%)</w:t>
                  </w: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 xml:space="preserve">Меры социальной поддержки по предоставлению бесплатной жилой площади педагогическим работникам в сельской местности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515,9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435,9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80,0 (16%)</w:t>
                  </w: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 xml:space="preserve">Субвенция на обеспечение жилыми помещениями детей-сирот и детей, оставшихся без попечения родителей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402,5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464,3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+ 61,8 (15%)</w:t>
                  </w: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Субсидия местным бюджетам на развитие кадрового потенциала муниципальных образований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2,3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+2,3 (100%)</w:t>
                  </w: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/>
                      <w:bCs/>
                    </w:rPr>
                    <w:t xml:space="preserve">Межбюджетные трансферты и централизованные </w:t>
                  </w:r>
                  <w:r w:rsidRPr="00CF36FF">
                    <w:rPr>
                      <w:b/>
                      <w:bCs/>
                    </w:rPr>
                    <w:lastRenderedPageBreak/>
                    <w:t>закупки для МО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highlight w:val="lightGray"/>
                    </w:rPr>
                  </w:pPr>
                </w:p>
              </w:tc>
            </w:tr>
            <w:tr w:rsidR="00A4340C" w:rsidRPr="00CF36FF" w:rsidTr="00C80CA0">
              <w:tc>
                <w:tcPr>
                  <w:tcW w:w="2863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lastRenderedPageBreak/>
                    <w:t>Субсидия на реализацию мероприятий ГП «Доступная среда»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4,9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3,8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1,1 (22%)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 w:val="restart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proofErr w:type="spellStart"/>
                  <w:proofErr w:type="gramStart"/>
                  <w:r w:rsidRPr="00CF36FF">
                    <w:rPr>
                      <w:bCs/>
                    </w:rPr>
                    <w:t>Общеобразо-вательные</w:t>
                  </w:r>
                  <w:proofErr w:type="spellEnd"/>
                  <w:proofErr w:type="gramEnd"/>
                  <w:r w:rsidRPr="00CF36FF">
                    <w:rPr>
                      <w:bCs/>
                    </w:rPr>
                    <w:t xml:space="preserve"> организации</w:t>
                  </w: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Субсидия на обеспечение бесплатным горячим питанием </w:t>
                  </w:r>
                  <w:proofErr w:type="gramStart"/>
                  <w:r w:rsidRPr="00CF36FF">
                    <w:rPr>
                      <w:bCs/>
                    </w:rPr>
                    <w:t>обучающихся</w:t>
                  </w:r>
                  <w:proofErr w:type="gramEnd"/>
                  <w:r w:rsidRPr="00CF36FF">
                    <w:rPr>
                      <w:bCs/>
                    </w:rPr>
                    <w:t xml:space="preserve"> начального общего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326,2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629,2 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+303,0 (93%)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Субсидия на укрепление МТБ столовых и пищеблоков муниципальных школ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24,9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+24,9 (100%)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proofErr w:type="gramStart"/>
                  <w:r w:rsidRPr="00CF36FF">
                    <w:rPr>
                      <w:bCs/>
                    </w:rPr>
                    <w:t xml:space="preserve">Субсидия на </w:t>
                  </w:r>
                  <w:r w:rsidRPr="00CF36FF">
                    <w:rPr>
                      <w:bCs/>
                    </w:rPr>
                    <w:lastRenderedPageBreak/>
                    <w:t>обеспечение питанием обучающихся, проживающих в пришкольных интернатах</w:t>
                  </w:r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1,8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1,9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+ 0,1 (4%)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Иные межбюджетные трансферты на </w:t>
                  </w:r>
                  <w:proofErr w:type="spellStart"/>
                  <w:r w:rsidRPr="00CF36FF">
                    <w:rPr>
                      <w:bCs/>
                    </w:rPr>
                    <w:t>кап</w:t>
                  </w:r>
                  <w:proofErr w:type="gramStart"/>
                  <w:r w:rsidRPr="00CF36FF">
                    <w:rPr>
                      <w:bCs/>
                    </w:rPr>
                    <w:t>.р</w:t>
                  </w:r>
                  <w:proofErr w:type="gramEnd"/>
                  <w:r w:rsidRPr="00CF36FF">
                    <w:rPr>
                      <w:bCs/>
                    </w:rPr>
                    <w:t>емонт</w:t>
                  </w:r>
                  <w:proofErr w:type="spellEnd"/>
                  <w:r w:rsidRPr="00CF36FF">
                    <w:rPr>
                      <w:bCs/>
                    </w:rPr>
                    <w:t xml:space="preserve"> общеобразовательных организаций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85,0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135,8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+ 50,8 (60%)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Субсидия на благоустройство зданий общеобразовательных </w:t>
                  </w:r>
                  <w:r w:rsidRPr="00CF36FF">
                    <w:rPr>
                      <w:bCs/>
                    </w:rPr>
                    <w:lastRenderedPageBreak/>
                    <w:t xml:space="preserve">организаций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85,9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224,6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+ 138,7(161%)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Оснащение ме</w:t>
                  </w:r>
                  <w:proofErr w:type="gramStart"/>
                  <w:r w:rsidRPr="00CF36FF">
                    <w:rPr>
                      <w:bCs/>
                    </w:rPr>
                    <w:t>ст в св</w:t>
                  </w:r>
                  <w:proofErr w:type="gramEnd"/>
                  <w:r w:rsidRPr="00CF36FF">
                    <w:rPr>
                      <w:bCs/>
                    </w:rPr>
                    <w:t xml:space="preserve">язи </w:t>
                  </w:r>
                  <w:r w:rsidRPr="00CF36FF">
                    <w:rPr>
                      <w:bCs/>
                    </w:rPr>
                    <w:br/>
                    <w:t>с вводом новых школ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60,5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+ 60,5 (100%)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ИМБТ на подготовку объектов теплоснабжения </w:t>
                  </w:r>
                  <w:r w:rsidRPr="00CF36FF">
                    <w:rPr>
                      <w:bCs/>
                    </w:rPr>
                    <w:br/>
                    <w:t>к новому отопительному периоду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29,7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29,7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0,0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Субсидия на оснащение образовательных организаций  транспо</w:t>
                  </w:r>
                  <w:r w:rsidRPr="00CF36FF">
                    <w:rPr>
                      <w:bCs/>
                    </w:rPr>
                    <w:lastRenderedPageBreak/>
                    <w:t xml:space="preserve">ртными средствами для перевозки детей 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9,7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13,9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+ 4,2 (43%)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 w:val="restart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lastRenderedPageBreak/>
                    <w:t xml:space="preserve">Организации </w:t>
                  </w:r>
                  <w:proofErr w:type="gramStart"/>
                  <w:r w:rsidRPr="00CF36FF">
                    <w:rPr>
                      <w:bCs/>
                    </w:rPr>
                    <w:t>дошкольного</w:t>
                  </w:r>
                  <w:proofErr w:type="gramEnd"/>
                  <w:r w:rsidRPr="00CF36FF">
                    <w:rPr>
                      <w:bCs/>
                    </w:rPr>
                    <w:t xml:space="preserve"> образования</w:t>
                  </w: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Субсидия на капитальный ремонт зданий дошкольных образовательных учреждений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150,0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145,0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 xml:space="preserve"> – 5,0 (3%)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Субсидия на укрепление МБТ дошкольных образовательных организаций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27,5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24,7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2,8 (10%)</w:t>
                  </w:r>
                </w:p>
              </w:tc>
            </w:tr>
            <w:tr w:rsidR="00A4340C" w:rsidRPr="00CF36FF" w:rsidTr="00C80CA0">
              <w:tc>
                <w:tcPr>
                  <w:tcW w:w="176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Доп. образование</w:t>
                  </w:r>
                </w:p>
              </w:tc>
              <w:tc>
                <w:tcPr>
                  <w:tcW w:w="110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Иные межбюджетные </w:t>
                  </w:r>
                  <w:r w:rsidRPr="00CF36FF">
                    <w:rPr>
                      <w:bCs/>
                    </w:rPr>
                    <w:lastRenderedPageBreak/>
                    <w:t xml:space="preserve">трансферты местным бюджетам на капитальный ремонт зданий учреждений </w:t>
                  </w:r>
                  <w:proofErr w:type="gramStart"/>
                  <w:r w:rsidRPr="00CF36FF">
                    <w:rPr>
                      <w:bCs/>
                    </w:rPr>
                    <w:t>дополнительного</w:t>
                  </w:r>
                  <w:proofErr w:type="gramEnd"/>
                  <w:r w:rsidRPr="00CF36FF">
                    <w:rPr>
                      <w:bCs/>
                    </w:rPr>
                    <w:t xml:space="preserve"> образования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–</w:t>
                  </w:r>
                </w:p>
              </w:tc>
              <w:tc>
                <w:tcPr>
                  <w:tcW w:w="993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25,2</w:t>
                  </w:r>
                </w:p>
              </w:tc>
              <w:tc>
                <w:tcPr>
                  <w:tcW w:w="1650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+25,2 (100%)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>Комитет отмечает, что: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>расчет средств субвенции на компенсацию родительской платы за содержание ребенка  в дошкольных образовательных организациях и меры социальной поддержки по предоставлению бесплатной жилой площади педагогическим работникам в сельской местности произведен на 10 месяцев,</w:t>
            </w:r>
            <w:r w:rsidRPr="00CF36FF">
              <w:rPr>
                <w:bCs/>
              </w:rPr>
              <w:br/>
              <w:t xml:space="preserve">и в процессе исполнения бюджета </w:t>
            </w:r>
            <w:r w:rsidRPr="00CF36FF">
              <w:t>2021 года необходимо предусмотреть увеличение расходов</w:t>
            </w:r>
            <w:r w:rsidRPr="00CF36FF">
              <w:rPr>
                <w:bCs/>
              </w:rPr>
              <w:t xml:space="preserve"> на эти цели;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 xml:space="preserve">субвенция на обеспечение жилыми помещениями детей-сирот и детей, оставшихся без попечения родителей, позволит приобрести 300 квартир, при этом по сравнению с 2020 годом увеличено плановое поступление средств федерального бюджета на 12 млн. рублей, средств областного бюджета – </w:t>
            </w:r>
            <w:r w:rsidRPr="00CF36FF">
              <w:rPr>
                <w:bCs/>
              </w:rPr>
              <w:br/>
              <w:t>на 50 млн. рублей;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 xml:space="preserve">запланированы новые субсидии местным бюджетам на развитие кадрового потенциала муниципальных образований и </w:t>
            </w:r>
            <w:r w:rsidRPr="00CF36FF">
              <w:rPr>
                <w:bCs/>
              </w:rPr>
              <w:lastRenderedPageBreak/>
              <w:t>укрепление материально-технической базы столовых и пищеблоков муниципальных школ;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 xml:space="preserve">ряд субсидий предусмотрен на проведение конкретных мероприятий (капительный ремонт четырех общеобразовательных организаций, четырех дошкольных образовательных учреждений г. Архангельска, детско-юношеского центра г. Северодвинска и </w:t>
            </w:r>
            <w:r w:rsidRPr="00CF36FF">
              <w:t>«Средней школы № 9» г. Архангельска</w:t>
            </w:r>
            <w:r w:rsidRPr="00CF36FF">
              <w:rPr>
                <w:bCs/>
              </w:rPr>
              <w:t>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субсидия местным бюджетам на обеспечение питанием обучающихся, проживающих в пришкольных интернатах увеличилась на 4 процента (стоимость набора продуктов питания увеличена с 26,97 до 31,93 рубля в день);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t>реализация мероприятий государственной программы «Доступная среда» с 2021 году будет осуществляться только за счет средств областного бюджета</w:t>
            </w:r>
            <w:r w:rsidRPr="00CF36FF">
              <w:t>;</w:t>
            </w:r>
            <w:r w:rsidRPr="00CF36FF">
              <w:rPr>
                <w:bCs/>
              </w:rPr>
              <w:t xml:space="preserve"> 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2020 году предусмотрено 306,9 млн. рублей. В </w:t>
            </w:r>
            <w:proofErr w:type="gramStart"/>
            <w:r w:rsidRPr="00CF36FF">
              <w:t>проекте</w:t>
            </w:r>
            <w:proofErr w:type="gramEnd"/>
            <w:r w:rsidRPr="00CF36FF">
              <w:t xml:space="preserve"> областного бюджета на 2021 год и на плановый период 2022 и 2023 годов средства на выплату вознаграждения не определены, так как в настоящее время указанный межбюджетный трансферт не определен федеральным бюджетом.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Кроме того комитет отмечает недостаточность и отсутствие средств </w:t>
            </w:r>
            <w:proofErr w:type="gramStart"/>
            <w:r w:rsidRPr="00CF36FF">
              <w:t>на</w:t>
            </w:r>
            <w:proofErr w:type="gramEnd"/>
            <w:r w:rsidRPr="00CF36FF">
              <w:t>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укрепление материально-технической базы и развитие противопожарной инфраструктуры образовательных организаций для устранения предписаний надзорных органов по устранению нарушений законодательства в сфере образования, при этом потребность составляет 56 млн. рублей;</w:t>
            </w:r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  <w:rPr>
                <w:rFonts w:eastAsia="Arial Unicode MS"/>
              </w:rPr>
            </w:pPr>
            <w:r w:rsidRPr="00CF36FF">
              <w:t xml:space="preserve">благоустройство территорий образовательных организаций </w:t>
            </w:r>
            <w:r w:rsidRPr="00CF36FF">
              <w:rPr>
                <w:rFonts w:eastAsia="Arial Unicode MS"/>
              </w:rPr>
              <w:t>(в 2020 году на эти цели выделялось 30,0 млн. рублей), при этом потребность составляет более 100 млн. рублей;</w:t>
            </w:r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  <w:r w:rsidRPr="00CF36FF">
              <w:lastRenderedPageBreak/>
              <w:t>оснащение и развитие базовых школ Российской академии наук.</w:t>
            </w:r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Межбюджетные трансферты на реализацию национального </w:t>
            </w:r>
            <w:r w:rsidRPr="00CF36FF">
              <w:rPr>
                <w:bCs/>
              </w:rPr>
              <w:t xml:space="preserve">проекта «Образование» направляются </w:t>
            </w:r>
            <w:proofErr w:type="gramStart"/>
            <w:r w:rsidRPr="00CF36FF">
              <w:rPr>
                <w:bCs/>
              </w:rPr>
              <w:t>на</w:t>
            </w:r>
            <w:proofErr w:type="gramEnd"/>
            <w:r w:rsidRPr="00CF36FF">
              <w:rPr>
                <w:bCs/>
              </w:rPr>
              <w:t>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6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0"/>
              <w:gridCol w:w="738"/>
              <w:gridCol w:w="764"/>
              <w:gridCol w:w="1602"/>
            </w:tblGrid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Назначение трансферта</w:t>
                  </w:r>
                </w:p>
              </w:tc>
              <w:tc>
                <w:tcPr>
                  <w:tcW w:w="73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2020 год</w:t>
                  </w:r>
                </w:p>
              </w:tc>
              <w:tc>
                <w:tcPr>
                  <w:tcW w:w="76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</w:pPr>
                  <w:r w:rsidRPr="00CF36FF">
                    <w:t>2021 год</w:t>
                  </w:r>
                </w:p>
              </w:tc>
              <w:tc>
                <w:tcPr>
                  <w:tcW w:w="1602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 xml:space="preserve">Отклонение </w:t>
                  </w:r>
                  <w:r w:rsidRPr="00CF36FF">
                    <w:rPr>
                      <w:highlight w:val="lightGray"/>
                    </w:rPr>
                    <w:br/>
                    <w:t>к 2020 году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Создание в сельских школах условий для занятия физической культурой и спортом </w:t>
                  </w:r>
                </w:p>
              </w:tc>
              <w:tc>
                <w:tcPr>
                  <w:tcW w:w="73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62,2</w:t>
                  </w:r>
                </w:p>
              </w:tc>
              <w:tc>
                <w:tcPr>
                  <w:tcW w:w="76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17,7</w:t>
                  </w:r>
                </w:p>
              </w:tc>
              <w:tc>
                <w:tcPr>
                  <w:tcW w:w="160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44,5 (72%)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Создание новых мест </w:t>
                  </w:r>
                  <w:proofErr w:type="gramStart"/>
                  <w:r w:rsidRPr="00CF36FF">
                    <w:rPr>
                      <w:bCs/>
                    </w:rPr>
                    <w:t>дополнительного</w:t>
                  </w:r>
                  <w:proofErr w:type="gramEnd"/>
                  <w:r w:rsidRPr="00CF36FF">
                    <w:rPr>
                      <w:bCs/>
                    </w:rPr>
                    <w:t xml:space="preserve"> образования детей </w:t>
                  </w:r>
                </w:p>
              </w:tc>
              <w:tc>
                <w:tcPr>
                  <w:tcW w:w="73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29,9</w:t>
                  </w:r>
                </w:p>
              </w:tc>
              <w:tc>
                <w:tcPr>
                  <w:tcW w:w="76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15,4</w:t>
                  </w:r>
                </w:p>
              </w:tc>
              <w:tc>
                <w:tcPr>
                  <w:tcW w:w="160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14,5 (48%)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Обновление МТБ для формирования </w:t>
                  </w:r>
                  <w:r w:rsidRPr="00CF36FF">
                    <w:rPr>
                      <w:bCs/>
                    </w:rPr>
                    <w:br/>
                    <w:t xml:space="preserve">у обучающихся современных технологических и гуманитарных навыков </w:t>
                  </w:r>
                </w:p>
              </w:tc>
              <w:tc>
                <w:tcPr>
                  <w:tcW w:w="73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46,9</w:t>
                  </w:r>
                </w:p>
              </w:tc>
              <w:tc>
                <w:tcPr>
                  <w:tcW w:w="76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2,2</w:t>
                  </w:r>
                </w:p>
              </w:tc>
              <w:tc>
                <w:tcPr>
                  <w:tcW w:w="160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44,7 (95%)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Создание условий для вовлечения обучающихся в профилактику ДТП</w:t>
                  </w:r>
                </w:p>
              </w:tc>
              <w:tc>
                <w:tcPr>
                  <w:tcW w:w="738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7,7</w:t>
                  </w:r>
                </w:p>
              </w:tc>
              <w:tc>
                <w:tcPr>
                  <w:tcW w:w="764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6,6</w:t>
                  </w:r>
                </w:p>
              </w:tc>
              <w:tc>
                <w:tcPr>
                  <w:tcW w:w="1602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1,1 (14%)</w:t>
                  </w:r>
                </w:p>
              </w:tc>
            </w:tr>
          </w:tbl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  <w:r w:rsidRPr="00CF36FF">
              <w:t>Комитет отмечает, что необходимо провести мониторинг потребности сельских школ в ремонте (реконструкции) спортивных залов и при необходимости в ходе исполнения бюджета 2021 года увеличить объем финансирования по данному направлению.</w:t>
            </w:r>
          </w:p>
          <w:p w:rsidR="00A4340C" w:rsidRDefault="00A4340C" w:rsidP="00CF36FF">
            <w:pPr>
              <w:pStyle w:val="a9"/>
              <w:widowControl w:val="0"/>
              <w:ind w:left="0" w:right="34" w:firstLine="34"/>
              <w:jc w:val="both"/>
            </w:pPr>
          </w:p>
          <w:p w:rsidR="00C80CA0" w:rsidRDefault="00C80CA0" w:rsidP="00CF36FF">
            <w:pPr>
              <w:pStyle w:val="a9"/>
              <w:widowControl w:val="0"/>
              <w:ind w:left="0" w:right="34" w:firstLine="34"/>
              <w:jc w:val="both"/>
            </w:pPr>
          </w:p>
          <w:p w:rsidR="00C80CA0" w:rsidRDefault="00C80CA0" w:rsidP="00CF36FF">
            <w:pPr>
              <w:pStyle w:val="a9"/>
              <w:widowControl w:val="0"/>
              <w:ind w:left="0" w:right="34" w:firstLine="34"/>
              <w:jc w:val="both"/>
            </w:pPr>
          </w:p>
          <w:p w:rsidR="00C80CA0" w:rsidRPr="00CF36FF" w:rsidRDefault="00C80CA0" w:rsidP="00CF36FF">
            <w:pPr>
              <w:pStyle w:val="a9"/>
              <w:widowControl w:val="0"/>
              <w:ind w:left="0"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  <w:r w:rsidRPr="00CF36FF">
              <w:rPr>
                <w:bCs/>
              </w:rPr>
              <w:lastRenderedPageBreak/>
              <w:t>Расходы на содержание и субсидии на иные цели государственным учреждениям, в том числе по национальному проекту «Образование»: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04"/>
              <w:gridCol w:w="1418"/>
              <w:gridCol w:w="1131"/>
              <w:gridCol w:w="1137"/>
              <w:gridCol w:w="1417"/>
            </w:tblGrid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/>
                    </w:rPr>
                    <w:t>Направление расходов</w:t>
                  </w:r>
                </w:p>
              </w:tc>
              <w:tc>
                <w:tcPr>
                  <w:tcW w:w="1131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/>
                    </w:rPr>
                    <w:t>2020 год</w:t>
                  </w:r>
                </w:p>
              </w:tc>
              <w:tc>
                <w:tcPr>
                  <w:tcW w:w="1137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/>
                    </w:rPr>
                    <w:t>2021 год</w:t>
                  </w:r>
                </w:p>
              </w:tc>
              <w:tc>
                <w:tcPr>
                  <w:tcW w:w="1417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  <w:highlight w:val="lightGray"/>
                    </w:rPr>
                  </w:pPr>
                  <w:proofErr w:type="spellStart"/>
                  <w:proofErr w:type="gramStart"/>
                  <w:r w:rsidRPr="00CF36FF">
                    <w:rPr>
                      <w:b/>
                      <w:highlight w:val="lightGray"/>
                    </w:rPr>
                    <w:t>Отклоне</w:t>
                  </w:r>
                  <w:r w:rsidR="00C80CA0">
                    <w:rPr>
                      <w:b/>
                      <w:highlight w:val="lightGray"/>
                    </w:rPr>
                    <w:t>-</w:t>
                  </w:r>
                  <w:r w:rsidRPr="00CF36FF">
                    <w:rPr>
                      <w:b/>
                      <w:highlight w:val="lightGray"/>
                    </w:rPr>
                    <w:t>ние</w:t>
                  </w:r>
                  <w:proofErr w:type="spellEnd"/>
                  <w:proofErr w:type="gramEnd"/>
                  <w:r w:rsidRPr="00CF36FF">
                    <w:rPr>
                      <w:b/>
                      <w:highlight w:val="lightGray"/>
                    </w:rPr>
                    <w:t xml:space="preserve"> к 2020 году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Cs/>
                    </w:rPr>
                    <w:t>Содержание подведомственных учреждений (87), в т.ч.: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t>5 378,0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t>5 740,0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highlight w:val="lightGray"/>
                    </w:rPr>
                  </w:pPr>
                  <w:r w:rsidRPr="00CF36FF">
                    <w:rPr>
                      <w:bCs/>
                      <w:highlight w:val="lightGray"/>
                    </w:rPr>
                    <w:t>+ 362,0 (7%)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 xml:space="preserve">расходы  на выполнение государственного задания 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4 476,4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4 572,0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+ 95,6 (2%)</w:t>
                  </w:r>
                </w:p>
              </w:tc>
            </w:tr>
            <w:tr w:rsidR="00A4340C" w:rsidRPr="00CF36FF" w:rsidTr="00C80CA0">
              <w:tc>
                <w:tcPr>
                  <w:tcW w:w="1304" w:type="dxa"/>
                  <w:vMerge w:val="restart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субсидии на иные цели</w:t>
                  </w:r>
                </w:p>
              </w:tc>
              <w:tc>
                <w:tcPr>
                  <w:tcW w:w="141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стипендиальный фонд </w:t>
                  </w:r>
                </w:p>
              </w:tc>
              <w:tc>
                <w:tcPr>
                  <w:tcW w:w="1131" w:type="dxa"/>
                  <w:vMerge w:val="restart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904,0</w:t>
                  </w:r>
                </w:p>
              </w:tc>
              <w:tc>
                <w:tcPr>
                  <w:tcW w:w="1137" w:type="dxa"/>
                  <w:vMerge w:val="restart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1 304,0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(+ 3,3%)</w:t>
                  </w:r>
                </w:p>
              </w:tc>
            </w:tr>
            <w:tr w:rsidR="00A4340C" w:rsidRPr="00CF36FF" w:rsidTr="00C80CA0">
              <w:tc>
                <w:tcPr>
                  <w:tcW w:w="1304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A4340C" w:rsidRPr="00CF36FF" w:rsidRDefault="00C80CA0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proofErr w:type="spellStart"/>
                  <w:proofErr w:type="gramStart"/>
                  <w:r w:rsidRPr="00CF36FF">
                    <w:rPr>
                      <w:bCs/>
                    </w:rPr>
                    <w:t>О</w:t>
                  </w:r>
                  <w:r w:rsidR="00A4340C" w:rsidRPr="00CF36FF">
                    <w:rPr>
                      <w:bCs/>
                    </w:rPr>
                    <w:t>беспече</w:t>
                  </w:r>
                  <w:r>
                    <w:rPr>
                      <w:bCs/>
                    </w:rPr>
                    <w:t>-</w:t>
                  </w:r>
                  <w:r w:rsidR="00A4340C" w:rsidRPr="00CF36FF">
                    <w:rPr>
                      <w:bCs/>
                    </w:rPr>
                    <w:t>ние</w:t>
                  </w:r>
                  <w:proofErr w:type="spellEnd"/>
                  <w:proofErr w:type="gramEnd"/>
                  <w:r w:rsidR="00A4340C" w:rsidRPr="00CF36FF">
                    <w:rPr>
                      <w:bCs/>
                    </w:rPr>
                    <w:t xml:space="preserve"> </w:t>
                  </w:r>
                  <w:proofErr w:type="spellStart"/>
                  <w:r w:rsidR="00A4340C" w:rsidRPr="00CF36FF">
                    <w:rPr>
                      <w:bCs/>
                    </w:rPr>
                    <w:t>пита</w:t>
                  </w:r>
                  <w:r>
                    <w:rPr>
                      <w:bCs/>
                    </w:rPr>
                    <w:t>-</w:t>
                  </w:r>
                  <w:r w:rsidR="00A4340C" w:rsidRPr="00CF36FF">
                    <w:rPr>
                      <w:bCs/>
                    </w:rPr>
                    <w:t>нием</w:t>
                  </w:r>
                  <w:proofErr w:type="spellEnd"/>
                  <w:r w:rsidR="00A4340C" w:rsidRPr="00CF36FF">
                    <w:rPr>
                      <w:bCs/>
                    </w:rPr>
                    <w:t xml:space="preserve"> и </w:t>
                  </w:r>
                  <w:proofErr w:type="spellStart"/>
                  <w:r w:rsidR="00A4340C" w:rsidRPr="00CF36FF">
                    <w:rPr>
                      <w:bCs/>
                    </w:rPr>
                    <w:t>обмунди</w:t>
                  </w:r>
                  <w:r>
                    <w:rPr>
                      <w:bCs/>
                    </w:rPr>
                    <w:t>-</w:t>
                  </w:r>
                  <w:r w:rsidR="00A4340C" w:rsidRPr="00CF36FF">
                    <w:rPr>
                      <w:bCs/>
                    </w:rPr>
                    <w:t>рованием</w:t>
                  </w:r>
                  <w:proofErr w:type="spellEnd"/>
                  <w:r w:rsidR="00A4340C" w:rsidRPr="00CF36FF">
                    <w:rPr>
                      <w:bCs/>
                    </w:rPr>
                    <w:t xml:space="preserve"> </w:t>
                  </w:r>
                  <w:proofErr w:type="spellStart"/>
                  <w:r w:rsidR="00A4340C" w:rsidRPr="00CF36FF">
                    <w:rPr>
                      <w:bCs/>
                    </w:rPr>
                    <w:t>обучаю</w:t>
                  </w:r>
                  <w:r>
                    <w:rPr>
                      <w:bCs/>
                    </w:rPr>
                    <w:t>-</w:t>
                  </w:r>
                  <w:r w:rsidR="00A4340C" w:rsidRPr="00CF36FF">
                    <w:rPr>
                      <w:bCs/>
                    </w:rPr>
                    <w:t>щихся</w:t>
                  </w:r>
                  <w:proofErr w:type="spellEnd"/>
                </w:p>
              </w:tc>
              <w:tc>
                <w:tcPr>
                  <w:tcW w:w="1131" w:type="dxa"/>
                  <w:vMerge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</w:p>
              </w:tc>
              <w:tc>
                <w:tcPr>
                  <w:tcW w:w="1137" w:type="dxa"/>
                  <w:vMerge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(+ 8,3%)</w:t>
                  </w:r>
                </w:p>
              </w:tc>
            </w:tr>
            <w:tr w:rsidR="00A4340C" w:rsidRPr="00CF36FF" w:rsidTr="00C80CA0">
              <w:tc>
                <w:tcPr>
                  <w:tcW w:w="1304" w:type="dxa"/>
                  <w:vMerge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ремонт и укрепление МТБ</w:t>
                  </w:r>
                </w:p>
              </w:tc>
              <w:tc>
                <w:tcPr>
                  <w:tcW w:w="1131" w:type="dxa"/>
                  <w:vMerge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</w:p>
              </w:tc>
              <w:tc>
                <w:tcPr>
                  <w:tcW w:w="1137" w:type="dxa"/>
                  <w:vMerge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(+ 153,5%)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 xml:space="preserve">Министерству строительства и архитектуры Архангельской области на содержание и охрану объекта </w:t>
                  </w:r>
                  <w:r w:rsidRPr="00CF36FF">
                    <w:t xml:space="preserve">«Университетская </w:t>
                  </w:r>
                  <w:r w:rsidRPr="00CF36FF">
                    <w:lastRenderedPageBreak/>
                    <w:t>Ломоносовская гимназия»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–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2,7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+ 2,7 (новое)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lastRenderedPageBreak/>
                    <w:t>Поддержка образования для детей с ограниченными возможностями здоровья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15,6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13,1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2,5 (16%)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Господдержка СПО в целях соответствия их МТБ современным требованиям (лаборатории, мастерские)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7,3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4,3 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–3 ,0 (41%)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Создание детских технопарков «</w:t>
                  </w:r>
                  <w:proofErr w:type="spellStart"/>
                  <w:r w:rsidRPr="00CF36FF">
                    <w:rPr>
                      <w:bCs/>
                    </w:rPr>
                    <w:t>Кванториум</w:t>
                  </w:r>
                  <w:proofErr w:type="spellEnd"/>
                  <w:r w:rsidRPr="00CF36FF">
                    <w:rPr>
                      <w:bCs/>
                    </w:rPr>
                    <w:t xml:space="preserve">» 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65,7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+ 65,7 (100%)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t>Создание мобильных технопарков «</w:t>
                  </w:r>
                  <w:proofErr w:type="spellStart"/>
                  <w:r w:rsidRPr="00CF36FF">
                    <w:t>Кванториум</w:t>
                  </w:r>
                  <w:proofErr w:type="spellEnd"/>
                  <w:r w:rsidRPr="00CF36FF">
                    <w:t>»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16,9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16,9 (100%)</w:t>
                  </w:r>
                </w:p>
              </w:tc>
            </w:tr>
            <w:tr w:rsidR="00A4340C" w:rsidRPr="00CF36FF" w:rsidTr="00C80CA0">
              <w:tc>
                <w:tcPr>
                  <w:tcW w:w="2722" w:type="dxa"/>
                  <w:gridSpan w:val="2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Cs/>
                    </w:rPr>
                  </w:pPr>
                  <w:r w:rsidRPr="00CF36FF">
                    <w:rPr>
                      <w:bCs/>
                    </w:rPr>
                    <w:t>Создание центров поддержки одаренных детей «Созвездие»</w:t>
                  </w:r>
                </w:p>
              </w:tc>
              <w:tc>
                <w:tcPr>
                  <w:tcW w:w="113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1137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283,5</w:t>
                  </w:r>
                </w:p>
              </w:tc>
              <w:tc>
                <w:tcPr>
                  <w:tcW w:w="1417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t>+ 283,5 (новое)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bCs/>
              </w:rPr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rPr>
                <w:bCs/>
              </w:rPr>
              <w:t xml:space="preserve">Расходы на реализацию мероприятий в сфере образования </w:t>
            </w:r>
            <w:r w:rsidRPr="00CF36FF">
              <w:rPr>
                <w:bCs/>
              </w:rPr>
              <w:br/>
              <w:t>и п</w:t>
            </w:r>
            <w:r w:rsidRPr="00CF36FF">
              <w:t xml:space="preserve">редоставление </w:t>
            </w:r>
            <w:proofErr w:type="spellStart"/>
            <w:r w:rsidRPr="00CF36FF">
              <w:t>грантовой</w:t>
            </w:r>
            <w:proofErr w:type="spellEnd"/>
            <w:r w:rsidRPr="00CF36FF">
              <w:t xml:space="preserve"> поддержки предусмотрено </w:t>
            </w:r>
            <w:r w:rsidR="00C80CA0">
              <w:br/>
            </w:r>
            <w:r w:rsidRPr="00CF36FF">
              <w:t>в 2021 году: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0"/>
              <w:gridCol w:w="936"/>
              <w:gridCol w:w="936"/>
              <w:gridCol w:w="1105"/>
            </w:tblGrid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/>
                    </w:rPr>
                    <w:t>Направление расходов</w:t>
                  </w:r>
                </w:p>
              </w:tc>
              <w:tc>
                <w:tcPr>
                  <w:tcW w:w="936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/>
                    </w:rPr>
                    <w:t>2020 год</w:t>
                  </w:r>
                </w:p>
              </w:tc>
              <w:tc>
                <w:tcPr>
                  <w:tcW w:w="936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/>
                    </w:rPr>
                    <w:t>2021 год</w:t>
                  </w:r>
                </w:p>
              </w:tc>
              <w:tc>
                <w:tcPr>
                  <w:tcW w:w="1105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Отклонение к 2020 году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Cs/>
                    </w:rPr>
                    <w:t>Расходы на реализацию мероприятий в сфере образования (г</w:t>
                  </w:r>
                  <w:r w:rsidRPr="00CF36FF">
                    <w:t xml:space="preserve">осударственная </w:t>
                  </w:r>
                  <w:r w:rsidRPr="00CF36FF">
                    <w:lastRenderedPageBreak/>
                    <w:t>итоговая аттестация, оценка качества образования;  развитие научного потенциала, поддержка талантливых и одаренных детей, проведение олимпиады для школьников; предоставление единовременных выплат молодым специалистам</w:t>
                  </w:r>
                  <w:r w:rsidRPr="00CF36FF">
                    <w:rPr>
                      <w:bCs/>
                    </w:rPr>
                    <w:t xml:space="preserve"> </w:t>
                  </w:r>
                  <w:r w:rsidRPr="00CF36FF">
                    <w:t>и компенсационных  выплат учителям, прибывшим на работу в сельскую местность «Земский Учитель», иные мероприятия)</w:t>
                  </w:r>
                </w:p>
              </w:tc>
              <w:tc>
                <w:tcPr>
                  <w:tcW w:w="936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lastRenderedPageBreak/>
                    <w:t>261,5</w:t>
                  </w:r>
                </w:p>
              </w:tc>
              <w:tc>
                <w:tcPr>
                  <w:tcW w:w="936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260,0</w:t>
                  </w:r>
                </w:p>
              </w:tc>
              <w:tc>
                <w:tcPr>
                  <w:tcW w:w="1105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– 1,5  (0,6%)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proofErr w:type="gramStart"/>
                  <w:r w:rsidRPr="00CF36FF">
                    <w:lastRenderedPageBreak/>
                    <w:t>Гранты (на функционирование центров, реализующих дополнительные общеобразовательные программы; программы дошкольного образования, реализуемые организациям высшего образования; некоммерческим организациям в целях оказания помощи гражданам, имеющим детей), в т.ч.:</w:t>
                  </w:r>
                  <w:proofErr w:type="gramEnd"/>
                </w:p>
              </w:tc>
              <w:tc>
                <w:tcPr>
                  <w:tcW w:w="936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26,0</w:t>
                  </w:r>
                </w:p>
              </w:tc>
              <w:tc>
                <w:tcPr>
                  <w:tcW w:w="936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73,8</w:t>
                  </w:r>
                </w:p>
              </w:tc>
              <w:tc>
                <w:tcPr>
                  <w:tcW w:w="1105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+ 47,8 (183%)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proofErr w:type="gramStart"/>
                  <w:r w:rsidRPr="00CF36FF">
                    <w:t xml:space="preserve">гранты на финансовое обеспечение образовательных организаций высшего образования, осуществляющих </w:t>
                  </w:r>
                  <w:r w:rsidRPr="00CF36FF">
                    <w:br/>
                    <w:t xml:space="preserve">подготовку квалифицированных кадров </w:t>
                  </w:r>
                  <w:r w:rsidRPr="00CF36FF">
                    <w:lastRenderedPageBreak/>
                    <w:t>для рыбопромыслового флота</w:t>
                  </w:r>
                  <w:proofErr w:type="gramEnd"/>
                </w:p>
              </w:tc>
              <w:tc>
                <w:tcPr>
                  <w:tcW w:w="936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–</w:t>
                  </w:r>
                </w:p>
              </w:tc>
              <w:tc>
                <w:tcPr>
                  <w:tcW w:w="936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36,0</w:t>
                  </w:r>
                </w:p>
              </w:tc>
              <w:tc>
                <w:tcPr>
                  <w:tcW w:w="1105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+ 36,0 (новое)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На уровне расходов 2020 года предусмотрено: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материальное обеспечение детей-сирот (189,0 млн. рублей);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питание учащихся и детей с ограниченными возможностями здоровья в государственных образовательных учреждениях (136,7 млн. рублей);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  <w:rPr>
                <w:color w:val="000000"/>
                <w:kern w:val="24"/>
              </w:rPr>
            </w:pPr>
            <w:r w:rsidRPr="00CF36FF">
              <w:rPr>
                <w:color w:val="000000"/>
                <w:kern w:val="24"/>
              </w:rPr>
              <w:t xml:space="preserve">пособия на содержание детей в приемных семьях, вознаграждение за труд приемных родителей </w:t>
            </w:r>
            <w:r w:rsidR="00C80CA0">
              <w:rPr>
                <w:color w:val="000000"/>
                <w:kern w:val="24"/>
              </w:rPr>
              <w:br/>
            </w:r>
            <w:r w:rsidRPr="00CF36FF">
              <w:rPr>
                <w:color w:val="000000"/>
                <w:kern w:val="24"/>
              </w:rPr>
              <w:t>(529,0 млн. рублей).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>Участие министерства в других госпрограммах Архангельской области: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 рублей</w:t>
            </w:r>
          </w:p>
          <w:tbl>
            <w:tblPr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0"/>
              <w:gridCol w:w="851"/>
              <w:gridCol w:w="992"/>
              <w:gridCol w:w="1134"/>
            </w:tblGrid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/>
                    </w:rPr>
                    <w:t>Направление расходов</w:t>
                  </w:r>
                </w:p>
              </w:tc>
              <w:tc>
                <w:tcPr>
                  <w:tcW w:w="851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/>
                    </w:rPr>
                    <w:t>2020 год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</w:rPr>
                  </w:pPr>
                  <w:r w:rsidRPr="00CF36FF">
                    <w:rPr>
                      <w:b/>
                    </w:rPr>
                    <w:t>2021 год</w:t>
                  </w:r>
                </w:p>
              </w:tc>
              <w:tc>
                <w:tcPr>
                  <w:tcW w:w="1134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center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Отклонение к 2020 году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  <w:rPr>
                      <w:b/>
                    </w:rPr>
                  </w:pPr>
                  <w:r w:rsidRPr="00CF36FF">
                    <w:rPr>
                      <w:b/>
                    </w:rPr>
                    <w:t>Всего:</w:t>
                  </w:r>
                </w:p>
              </w:tc>
              <w:tc>
                <w:tcPr>
                  <w:tcW w:w="851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152,0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</w:rPr>
                  </w:pPr>
                  <w:r w:rsidRPr="00CF36FF">
                    <w:rPr>
                      <w:b/>
                    </w:rPr>
                    <w:t>164,2</w:t>
                  </w:r>
                </w:p>
              </w:tc>
              <w:tc>
                <w:tcPr>
                  <w:tcW w:w="1134" w:type="dxa"/>
                  <w:shd w:val="clear" w:color="auto" w:fill="C0C0C0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b/>
                      <w:highlight w:val="lightGray"/>
                    </w:rPr>
                  </w:pPr>
                  <w:r w:rsidRPr="00CF36FF">
                    <w:rPr>
                      <w:b/>
                      <w:highlight w:val="lightGray"/>
                    </w:rPr>
                    <w:t>+12,2 (8%)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«Социальная поддержка граждан в Архангельской области» </w:t>
                  </w:r>
                </w:p>
              </w:tc>
              <w:tc>
                <w:tcPr>
                  <w:tcW w:w="85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43,6</w:t>
                  </w:r>
                </w:p>
              </w:tc>
              <w:tc>
                <w:tcPr>
                  <w:tcW w:w="992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39,9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+ 3,7 (9%)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«Обеспечение общественного порядка, профилактика преступности, коррупции, терроризма, экстремизма </w:t>
                  </w:r>
                  <w:r w:rsidRPr="00CF36FF">
                    <w:br/>
                    <w:t xml:space="preserve">и незаконного потребления наркотических средств </w:t>
                  </w:r>
                  <w:r w:rsidRPr="00CF36FF">
                    <w:br/>
                    <w:t>и психотропных веществ в Архангельской области»</w:t>
                  </w:r>
                </w:p>
              </w:tc>
              <w:tc>
                <w:tcPr>
                  <w:tcW w:w="85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20,5</w:t>
                  </w:r>
                </w:p>
              </w:tc>
              <w:tc>
                <w:tcPr>
                  <w:tcW w:w="992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7,2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13,3 (65%)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«Защита населения и территорий Архангельской области </w:t>
                  </w:r>
                  <w:r w:rsidRPr="00CF36FF">
                    <w:br/>
                  </w:r>
                  <w:r w:rsidRPr="00CF36FF">
                    <w:lastRenderedPageBreak/>
                    <w:t>от чрезвычайных ситуаций, обеспечение пожарной безопасности и безопасности на водных объектах»</w:t>
                  </w:r>
                </w:p>
              </w:tc>
              <w:tc>
                <w:tcPr>
                  <w:tcW w:w="85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lastRenderedPageBreak/>
                    <w:t>51,0</w:t>
                  </w:r>
                </w:p>
              </w:tc>
              <w:tc>
                <w:tcPr>
                  <w:tcW w:w="992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18,0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33,0 (65%)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lastRenderedPageBreak/>
                    <w:t>«Комплексное развитие сельских территорий Архангельской области</w:t>
                  </w:r>
                  <w:r w:rsidRPr="00CF36FF">
                    <w:rPr>
                      <w:i/>
                    </w:rPr>
                    <w:t>» (</w:t>
                  </w:r>
                  <w:proofErr w:type="spellStart"/>
                  <w:r w:rsidRPr="00CF36FF">
                    <w:rPr>
                      <w:i/>
                    </w:rPr>
                    <w:t>Черевковская</w:t>
                  </w:r>
                  <w:proofErr w:type="spellEnd"/>
                  <w:r w:rsidRPr="00CF36FF">
                    <w:rPr>
                      <w:i/>
                    </w:rPr>
                    <w:t xml:space="preserve">, </w:t>
                  </w:r>
                  <w:proofErr w:type="spellStart"/>
                  <w:r w:rsidRPr="00CF36FF">
                    <w:rPr>
                      <w:i/>
                    </w:rPr>
                    <w:t>Мошинская</w:t>
                  </w:r>
                  <w:proofErr w:type="spellEnd"/>
                  <w:r w:rsidRPr="00CF36FF">
                    <w:rPr>
                      <w:i/>
                    </w:rPr>
                    <w:t xml:space="preserve"> </w:t>
                  </w:r>
                  <w:r w:rsidRPr="00CF36FF">
                    <w:rPr>
                      <w:i/>
                    </w:rPr>
                    <w:br/>
                    <w:t xml:space="preserve">и </w:t>
                  </w:r>
                  <w:proofErr w:type="gramStart"/>
                  <w:r w:rsidRPr="00CF36FF">
                    <w:rPr>
                      <w:i/>
                    </w:rPr>
                    <w:t>Приморская</w:t>
                  </w:r>
                  <w:proofErr w:type="gramEnd"/>
                  <w:r w:rsidRPr="00CF36FF">
                    <w:rPr>
                      <w:i/>
                    </w:rPr>
                    <w:t xml:space="preserve"> средние школы)</w:t>
                  </w:r>
                </w:p>
              </w:tc>
              <w:tc>
                <w:tcPr>
                  <w:tcW w:w="85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33,6</w:t>
                  </w:r>
                </w:p>
              </w:tc>
              <w:tc>
                <w:tcPr>
                  <w:tcW w:w="992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95,3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+ 61,7 (184%)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 xml:space="preserve">«Повышение уровня финансовой грамотности населения </w:t>
                  </w:r>
                  <w:r w:rsidRPr="00CF36FF">
                    <w:br/>
                    <w:t>и развитие финансового образования в Архангельской области в 2014 – 2020 годах»</w:t>
                  </w:r>
                </w:p>
              </w:tc>
              <w:tc>
                <w:tcPr>
                  <w:tcW w:w="85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3,3</w:t>
                  </w:r>
                </w:p>
              </w:tc>
              <w:tc>
                <w:tcPr>
                  <w:tcW w:w="992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2,9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– 0,4 (12%)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«Молодежь Поморья»</w:t>
                  </w:r>
                </w:p>
              </w:tc>
              <w:tc>
                <w:tcPr>
                  <w:tcW w:w="851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2" w:type="dxa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bCs/>
                    </w:rPr>
                    <w:t>0,9</w:t>
                  </w:r>
                </w:p>
              </w:tc>
              <w:tc>
                <w:tcPr>
                  <w:tcW w:w="1134" w:type="dxa"/>
                  <w:shd w:val="clear" w:color="auto" w:fill="C0C0C0"/>
                  <w:vAlign w:val="center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highlight w:val="lightGray"/>
                    </w:rPr>
                  </w:pPr>
                  <w:r w:rsidRPr="00CF36FF">
                    <w:rPr>
                      <w:highlight w:val="lightGray"/>
                    </w:rPr>
                    <w:t>+ 0,9 (новое)</w:t>
                  </w:r>
                </w:p>
              </w:tc>
            </w:tr>
          </w:tbl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</w:p>
          <w:p w:rsidR="00A4340C" w:rsidRPr="00CF36FF" w:rsidRDefault="00A4340C" w:rsidP="00CF36FF">
            <w:pPr>
              <w:pStyle w:val="a9"/>
              <w:widowControl w:val="0"/>
              <w:tabs>
                <w:tab w:val="left" w:pos="1276"/>
              </w:tabs>
              <w:ind w:left="0" w:right="34" w:firstLine="34"/>
              <w:jc w:val="both"/>
            </w:pPr>
            <w:r w:rsidRPr="00CF36FF">
              <w:t>На финансирование бюджетных инвестиций в объекты капитального строительства 9 объектов образования в рамках программы предлагается направить 1 662,5 млн. рублей, из них средства областного бюджета – 307,4 млн. рублей, федерального бюджета и прочих поступлений – 1 355,1 млн. рублей, в том числе: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1) на строительство трех зданий дошкольных образовательных организаций – 694,4 млн. рублей: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на 280 мест в г. Северодвинск;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на 280 мест в округе Майская Горка г. Архангельска (окончание строительства);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на 220 мест в пос. Урдома Ленского района за счет средств ПАО «Газпром»;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2) на строительство шести зданий общеобразовательных организаций – 968,0 млн. рублей: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 xml:space="preserve">начальная школа на 320 учащихся </w:t>
            </w:r>
            <w:proofErr w:type="gramStart"/>
            <w:r w:rsidRPr="00CF36FF">
              <w:rPr>
                <w:sz w:val="24"/>
                <w:szCs w:val="24"/>
              </w:rPr>
              <w:t>в</w:t>
            </w:r>
            <w:proofErr w:type="gramEnd"/>
            <w:r w:rsidRPr="00CF36FF">
              <w:rPr>
                <w:sz w:val="24"/>
                <w:szCs w:val="24"/>
              </w:rPr>
              <w:t xml:space="preserve"> с. </w:t>
            </w:r>
            <w:proofErr w:type="spellStart"/>
            <w:r w:rsidRPr="00CF36FF">
              <w:rPr>
                <w:sz w:val="24"/>
                <w:szCs w:val="24"/>
              </w:rPr>
              <w:t>Ильинско-Подомское</w:t>
            </w:r>
            <w:proofErr w:type="spellEnd"/>
            <w:r w:rsidRPr="00CF36FF">
              <w:rPr>
                <w:sz w:val="24"/>
                <w:szCs w:val="24"/>
              </w:rPr>
              <w:t xml:space="preserve"> </w:t>
            </w:r>
            <w:r w:rsidRPr="00CF36FF">
              <w:rPr>
                <w:sz w:val="24"/>
                <w:szCs w:val="24"/>
              </w:rPr>
              <w:lastRenderedPageBreak/>
              <w:t>Вилегодского района;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пристройка на 200 учащихся к зданию школы в пос. Приводино Котласского района за счет средств ПАО «Газпром»;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 xml:space="preserve">завершение строительства школы на 250 учащихся с блоком временного проживания на 50 человек </w:t>
            </w:r>
            <w:proofErr w:type="gramStart"/>
            <w:r w:rsidRPr="00CF36FF">
              <w:rPr>
                <w:sz w:val="24"/>
                <w:szCs w:val="24"/>
              </w:rPr>
              <w:t>в</w:t>
            </w:r>
            <w:proofErr w:type="gramEnd"/>
            <w:r w:rsidRPr="00CF36FF">
              <w:rPr>
                <w:sz w:val="24"/>
                <w:szCs w:val="24"/>
              </w:rPr>
              <w:t xml:space="preserve"> </w:t>
            </w:r>
            <w:proofErr w:type="gramStart"/>
            <w:r w:rsidRPr="00CF36FF">
              <w:rPr>
                <w:sz w:val="24"/>
                <w:szCs w:val="24"/>
              </w:rPr>
              <w:t>с</w:t>
            </w:r>
            <w:proofErr w:type="gramEnd"/>
            <w:r w:rsidRPr="00CF36FF">
              <w:rPr>
                <w:sz w:val="24"/>
                <w:szCs w:val="24"/>
              </w:rPr>
              <w:t>. Ровдино Шенкурского района;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>строительство школы на 1 600 мест в округе Майская горка г. Архангельска;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 xml:space="preserve">строительство школы на 860 мест в округе </w:t>
            </w:r>
            <w:proofErr w:type="spellStart"/>
            <w:r w:rsidRPr="00CF36FF">
              <w:rPr>
                <w:sz w:val="24"/>
                <w:szCs w:val="24"/>
              </w:rPr>
              <w:t>Варавино-Фактория</w:t>
            </w:r>
            <w:proofErr w:type="spellEnd"/>
            <w:r w:rsidRPr="00CF36FF">
              <w:rPr>
                <w:sz w:val="24"/>
                <w:szCs w:val="24"/>
              </w:rPr>
              <w:t xml:space="preserve"> г. Архангельска;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  <w:r w:rsidRPr="00CF36FF">
              <w:rPr>
                <w:sz w:val="24"/>
                <w:szCs w:val="24"/>
              </w:rPr>
              <w:t xml:space="preserve">завершение строительства школы на 90 учащихся </w:t>
            </w:r>
            <w:proofErr w:type="gramStart"/>
            <w:r w:rsidRPr="00CF36FF">
              <w:rPr>
                <w:sz w:val="24"/>
                <w:szCs w:val="24"/>
              </w:rPr>
              <w:t>в</w:t>
            </w:r>
            <w:proofErr w:type="gramEnd"/>
            <w:r w:rsidRPr="00CF36FF">
              <w:rPr>
                <w:sz w:val="24"/>
                <w:szCs w:val="24"/>
              </w:rPr>
              <w:t xml:space="preserve"> с. Долгощелье Мезенского района.</w:t>
            </w:r>
          </w:p>
          <w:p w:rsidR="00A4340C" w:rsidRPr="00CF36FF" w:rsidRDefault="00A4340C" w:rsidP="00CF36FF">
            <w:pPr>
              <w:pStyle w:val="af8"/>
              <w:widowControl w:val="0"/>
              <w:tabs>
                <w:tab w:val="left" w:pos="1134"/>
              </w:tabs>
              <w:ind w:right="34" w:firstLine="34"/>
              <w:rPr>
                <w:sz w:val="24"/>
                <w:szCs w:val="24"/>
              </w:rPr>
            </w:pPr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  <w:proofErr w:type="gramStart"/>
            <w:r w:rsidRPr="00CF36FF">
              <w:t xml:space="preserve">Комитет отмечает, что в рамках государственной 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 </w:t>
            </w:r>
            <w:r w:rsidRPr="00CF36FF">
              <w:br/>
              <w:t>на 2020 году предусмотрено недостаточно средств (7,2 млн. рублей при потребности 458,0 млн. рублей) на проведение мероприятий по обеспечению комплексной безопасности образовательных организаций, выполнение мероприятий по обеспечению антитеррористической защищенности объектов:</w:t>
            </w:r>
            <w:proofErr w:type="gramEnd"/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  <w:r w:rsidRPr="00CF36FF">
              <w:t>установку ограждений территории муниципальных образовательных организаций (в 2020 году было направлено 11,0 млн. рублей), при этом потребность составляет 253,0 млн. рублей;</w:t>
            </w:r>
          </w:p>
          <w:p w:rsidR="00A4340C" w:rsidRPr="00CF36FF" w:rsidRDefault="00A4340C" w:rsidP="00CF36FF">
            <w:pPr>
              <w:pStyle w:val="a9"/>
              <w:widowControl w:val="0"/>
              <w:ind w:left="0" w:right="34" w:firstLine="34"/>
              <w:jc w:val="both"/>
            </w:pPr>
            <w:r w:rsidRPr="00CF36FF">
              <w:rPr>
                <w:rFonts w:eastAsia="Arial Unicode MS"/>
              </w:rPr>
              <w:t xml:space="preserve">установку систем видеонаблюдения (в 2020 году было направлено </w:t>
            </w:r>
            <w:r w:rsidRPr="00CF36FF">
              <w:rPr>
                <w:rFonts w:eastAsia="Arial Unicode MS"/>
              </w:rPr>
              <w:br/>
              <w:t>9,0 млн. рублей)</w:t>
            </w:r>
            <w:r w:rsidRPr="00CF36FF">
              <w:t>, при этом потребность составляет 82,0 млн. рублей;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both"/>
            </w:pPr>
            <w:r w:rsidRPr="00CF36FF">
              <w:t xml:space="preserve">на установку систем контроля и управления доступом в  образовательные организации, потребность составляет 113,0 </w:t>
            </w:r>
            <w:r w:rsidRPr="00CF36FF">
              <w:lastRenderedPageBreak/>
              <w:t xml:space="preserve">млн. рублей. </w:t>
            </w:r>
          </w:p>
          <w:p w:rsidR="00A4340C" w:rsidRPr="00CF36FF" w:rsidRDefault="00A4340C" w:rsidP="00CF36FF">
            <w:pPr>
              <w:widowControl w:val="0"/>
              <w:autoSpaceDE w:val="0"/>
              <w:autoSpaceDN w:val="0"/>
              <w:adjustRightInd w:val="0"/>
              <w:ind w:right="34" w:firstLine="34"/>
              <w:jc w:val="both"/>
            </w:pPr>
          </w:p>
          <w:p w:rsidR="00A4340C" w:rsidRPr="00CF36FF" w:rsidRDefault="00A4340C" w:rsidP="00CF36FF">
            <w:pPr>
              <w:widowControl w:val="0"/>
              <w:tabs>
                <w:tab w:val="left" w:pos="4340"/>
              </w:tabs>
              <w:autoSpaceDE w:val="0"/>
              <w:autoSpaceDN w:val="0"/>
              <w:adjustRightInd w:val="0"/>
              <w:ind w:right="34" w:firstLine="34"/>
              <w:jc w:val="both"/>
              <w:rPr>
                <w:color w:val="000000"/>
              </w:rPr>
            </w:pPr>
            <w:r w:rsidRPr="00CF36FF">
              <w:rPr>
                <w:color w:val="000000"/>
              </w:rPr>
              <w:t xml:space="preserve">2.3. Кроме рассмотренных выше государственных программ к ведению комитета отнесены мероприятия госпрограммы </w:t>
            </w:r>
            <w:r w:rsidRPr="00CF36FF">
              <w:t>«Развитие инфраструктуры Соловецкого архипелага»</w:t>
            </w:r>
            <w:r w:rsidRPr="00CF36FF">
              <w:rPr>
                <w:color w:val="000000"/>
              </w:rPr>
              <w:t>:</w:t>
            </w:r>
          </w:p>
          <w:p w:rsidR="00A4340C" w:rsidRPr="00CF36FF" w:rsidRDefault="00A4340C" w:rsidP="00CF36FF">
            <w:pPr>
              <w:widowControl w:val="0"/>
              <w:ind w:right="34" w:firstLine="34"/>
              <w:jc w:val="right"/>
            </w:pPr>
            <w:r w:rsidRPr="00CF36FF">
              <w:t>млн. рублей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0"/>
              <w:gridCol w:w="1134"/>
              <w:gridCol w:w="992"/>
              <w:gridCol w:w="993"/>
            </w:tblGrid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 xml:space="preserve">Мероприятия 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2021 год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2022 год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2023 год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Всего, в т.ч.: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76,9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254,2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236,0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1. С</w:t>
                  </w:r>
                  <w:r w:rsidRPr="00CF36FF">
                    <w:rPr>
                      <w:color w:val="000000"/>
                    </w:rPr>
                    <w:t>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–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111,7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–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color w:val="000000"/>
                    </w:rPr>
                    <w:t>2. Мероприятия в сфере культуры и искусства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1,0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rPr>
                      <w:color w:val="000000"/>
                    </w:rPr>
                    <w:t>3. Мероприятия в области образования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1,2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</w:tr>
            <w:tr w:rsidR="00A4340C" w:rsidRPr="00CF36FF" w:rsidTr="00C80CA0">
              <w:tc>
                <w:tcPr>
                  <w:tcW w:w="3430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rPr>
                      <w:color w:val="000000"/>
                    </w:rPr>
                  </w:pPr>
                  <w:r w:rsidRPr="00CF36FF">
                    <w:rPr>
                      <w:color w:val="000000"/>
                    </w:rPr>
                    <w:t>4. Разработка (корректировка) архитектурно-</w:t>
                  </w:r>
                  <w:proofErr w:type="gramStart"/>
                  <w:r w:rsidRPr="00CF36FF">
                    <w:rPr>
                      <w:color w:val="000000"/>
                    </w:rPr>
                    <w:t>планировочных решений</w:t>
                  </w:r>
                  <w:proofErr w:type="gramEnd"/>
                  <w:r w:rsidRPr="00CF36FF">
                    <w:rPr>
                      <w:color w:val="000000"/>
                    </w:rPr>
      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      </w:r>
                </w:p>
              </w:tc>
              <w:tc>
                <w:tcPr>
                  <w:tcW w:w="1134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  <w:jc w:val="both"/>
                  </w:pPr>
                  <w:r w:rsidRPr="00CF36FF">
                    <w:t>1 730,0</w:t>
                  </w:r>
                </w:p>
              </w:tc>
              <w:tc>
                <w:tcPr>
                  <w:tcW w:w="992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  <w:tc>
                <w:tcPr>
                  <w:tcW w:w="993" w:type="dxa"/>
                </w:tcPr>
                <w:p w:rsidR="00A4340C" w:rsidRPr="00CF36FF" w:rsidRDefault="00A4340C" w:rsidP="00CF36FF">
                  <w:pPr>
                    <w:widowControl w:val="0"/>
                    <w:ind w:right="34" w:firstLine="34"/>
                  </w:pPr>
                  <w:r w:rsidRPr="00CF36FF">
                    <w:t>–</w:t>
                  </w:r>
                </w:p>
              </w:tc>
            </w:tr>
          </w:tbl>
          <w:p w:rsidR="00A4340C" w:rsidRPr="00F25426" w:rsidRDefault="00A4340C" w:rsidP="00A4340C">
            <w:pPr>
              <w:widowControl w:val="0"/>
              <w:ind w:firstLine="708"/>
              <w:jc w:val="both"/>
              <w:rPr>
                <w:highlight w:val="yellow"/>
              </w:rPr>
            </w:pPr>
          </w:p>
        </w:tc>
        <w:tc>
          <w:tcPr>
            <w:tcW w:w="1701" w:type="dxa"/>
          </w:tcPr>
          <w:p w:rsidR="00A4340C" w:rsidRPr="00F25426" w:rsidRDefault="00A4340C" w:rsidP="00A4340C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835" w:type="dxa"/>
          </w:tcPr>
          <w:p w:rsidR="00A4340C" w:rsidRPr="00A4340C" w:rsidRDefault="00A4340C" w:rsidP="00A4340C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proofErr w:type="gramStart"/>
            <w:r w:rsidRPr="00A4340C">
              <w:t xml:space="preserve">Комитет, с учетом рассмотрения проекта областного закона </w:t>
            </w:r>
            <w:r w:rsidR="000E0030">
              <w:br/>
            </w:r>
            <w:r w:rsidRPr="00A4340C">
              <w:t>«</w:t>
            </w:r>
            <w:r w:rsidRPr="00A4340C">
              <w:rPr>
                <w:spacing w:val="-1"/>
              </w:rPr>
              <w:t xml:space="preserve">Об областном бюджете на 2021 год и на плановый период 2022 </w:t>
            </w:r>
            <w:r w:rsidR="000E0030">
              <w:rPr>
                <w:spacing w:val="-1"/>
              </w:rPr>
              <w:br/>
            </w:r>
            <w:r w:rsidRPr="00A4340C">
              <w:rPr>
                <w:spacing w:val="-1"/>
              </w:rPr>
              <w:t>и 2023 годов</w:t>
            </w:r>
            <w:r w:rsidRPr="00A4340C">
              <w:t xml:space="preserve">» </w:t>
            </w:r>
            <w:r w:rsidR="000E0030">
              <w:br/>
            </w:r>
            <w:r w:rsidRPr="00A4340C">
              <w:t xml:space="preserve">на заседаниях экспертно-консультативного совета по законодательству </w:t>
            </w:r>
            <w:r w:rsidR="000E0030">
              <w:br/>
            </w:r>
            <w:r w:rsidRPr="00A4340C">
              <w:t xml:space="preserve">в сфере культурной политики и туризма </w:t>
            </w:r>
            <w:r w:rsidR="00CF36FF" w:rsidRPr="00A4340C">
              <w:t xml:space="preserve">при Архангельском областном Собрании депутатов </w:t>
            </w:r>
            <w:r w:rsidRPr="00A4340C">
              <w:t xml:space="preserve">и экспертно-консультативного совета </w:t>
            </w:r>
            <w:r w:rsidRPr="00A4340C">
              <w:br/>
              <w:t xml:space="preserve">по законодательству </w:t>
            </w:r>
            <w:r w:rsidR="000E0030">
              <w:br/>
            </w:r>
            <w:r w:rsidRPr="00A4340C">
              <w:lastRenderedPageBreak/>
              <w:t xml:space="preserve">в сфере образования при Архангельском областном Собрании депутатов, </w:t>
            </w:r>
            <w:r w:rsidR="00CF36FF">
              <w:t>решил</w:t>
            </w:r>
            <w:r w:rsidRPr="00A4340C">
              <w:t>:</w:t>
            </w:r>
            <w:proofErr w:type="gramEnd"/>
          </w:p>
          <w:p w:rsidR="00A4340C" w:rsidRPr="00A4340C" w:rsidRDefault="00A4340C" w:rsidP="00A4340C">
            <w:pPr>
              <w:pStyle w:val="1"/>
              <w:shd w:val="clear" w:color="auto" w:fill="auto"/>
              <w:spacing w:line="240" w:lineRule="auto"/>
              <w:ind w:right="-51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0C">
              <w:rPr>
                <w:rFonts w:ascii="Times New Roman" w:hAnsi="Times New Roman"/>
                <w:sz w:val="24"/>
                <w:szCs w:val="24"/>
              </w:rPr>
              <w:t xml:space="preserve">1. Рекомендовать депутатам областного Собрания поддержать принятие проекта областного закона </w:t>
            </w:r>
            <w:r w:rsidR="000E0030">
              <w:rPr>
                <w:rFonts w:ascii="Times New Roman" w:hAnsi="Times New Roman"/>
                <w:sz w:val="24"/>
                <w:szCs w:val="24"/>
              </w:rPr>
              <w:br/>
            </w:r>
            <w:r w:rsidRPr="00A4340C">
              <w:rPr>
                <w:rFonts w:ascii="Times New Roman" w:hAnsi="Times New Roman"/>
                <w:sz w:val="24"/>
                <w:szCs w:val="24"/>
              </w:rPr>
              <w:t xml:space="preserve">«Об областном бюджете на 2021 год </w:t>
            </w:r>
            <w:r w:rsidR="000E0030">
              <w:rPr>
                <w:rFonts w:ascii="Times New Roman" w:hAnsi="Times New Roman"/>
                <w:sz w:val="24"/>
                <w:szCs w:val="24"/>
              </w:rPr>
              <w:br/>
            </w:r>
            <w:r w:rsidRPr="00A4340C">
              <w:rPr>
                <w:rFonts w:ascii="Times New Roman" w:hAnsi="Times New Roman"/>
                <w:sz w:val="24"/>
                <w:szCs w:val="24"/>
              </w:rPr>
              <w:t xml:space="preserve">и на плановый период 2022 и 2023 годов» </w:t>
            </w:r>
            <w:r w:rsidR="000E0030">
              <w:rPr>
                <w:rFonts w:ascii="Times New Roman" w:hAnsi="Times New Roman"/>
                <w:sz w:val="24"/>
                <w:szCs w:val="24"/>
              </w:rPr>
              <w:br/>
            </w:r>
            <w:r w:rsidRPr="00A4340C">
              <w:rPr>
                <w:rFonts w:ascii="Times New Roman" w:hAnsi="Times New Roman"/>
                <w:sz w:val="24"/>
                <w:szCs w:val="24"/>
              </w:rPr>
              <w:t xml:space="preserve">в первом чтении </w:t>
            </w:r>
            <w:r w:rsidR="000E0030">
              <w:rPr>
                <w:rFonts w:ascii="Times New Roman" w:hAnsi="Times New Roman"/>
                <w:sz w:val="24"/>
                <w:szCs w:val="24"/>
              </w:rPr>
              <w:br/>
            </w:r>
            <w:r w:rsidRPr="00A4340C">
              <w:rPr>
                <w:rFonts w:ascii="Times New Roman" w:hAnsi="Times New Roman"/>
                <w:sz w:val="24"/>
                <w:szCs w:val="24"/>
              </w:rPr>
              <w:t>на двадцать первой сессии Архангельского областного Собрания депутатов с учетом данного заключения.</w:t>
            </w:r>
          </w:p>
          <w:p w:rsidR="00A4340C" w:rsidRPr="00A4340C" w:rsidRDefault="00A4340C" w:rsidP="00A4340C">
            <w:pPr>
              <w:pStyle w:val="Style5"/>
              <w:spacing w:line="240" w:lineRule="auto"/>
              <w:ind w:firstLine="33"/>
              <w:jc w:val="both"/>
            </w:pPr>
            <w:r w:rsidRPr="00A4340C">
              <w:t xml:space="preserve">2. Рекомендовать Правительству Архангельской области при подготовке проекта областного закона </w:t>
            </w:r>
            <w:r w:rsidR="000E0030">
              <w:br/>
            </w:r>
            <w:r w:rsidRPr="00A4340C">
              <w:t xml:space="preserve">«Об областном бюджете на 2021 год </w:t>
            </w:r>
            <w:r w:rsidR="000E0030">
              <w:br/>
            </w:r>
            <w:r w:rsidRPr="00A4340C">
              <w:t xml:space="preserve">и на плановый период 2022 и 2023 годов» </w:t>
            </w:r>
            <w:r w:rsidR="000E0030">
              <w:br/>
            </w:r>
            <w:r w:rsidRPr="00A4340C">
              <w:t xml:space="preserve">ко второму чтению, </w:t>
            </w:r>
            <w:r w:rsidR="000E0030">
              <w:br/>
            </w:r>
            <w:r w:rsidRPr="00A4340C">
              <w:t>а также в ходе исполнения бюджета 2021 года:</w:t>
            </w:r>
          </w:p>
          <w:p w:rsidR="00A4340C" w:rsidRPr="00A4340C" w:rsidRDefault="00A4340C" w:rsidP="00A4340C">
            <w:pPr>
              <w:pStyle w:val="Style5"/>
              <w:spacing w:line="240" w:lineRule="auto"/>
              <w:ind w:firstLine="33"/>
              <w:jc w:val="both"/>
            </w:pPr>
            <w:r w:rsidRPr="00A4340C">
              <w:t xml:space="preserve">1) предусмотреть дополнительные </w:t>
            </w:r>
            <w:r w:rsidRPr="00A4340C">
              <w:lastRenderedPageBreak/>
              <w:t xml:space="preserve">средства для софинансирования расходов муниципальных образований Архангельской области </w:t>
            </w:r>
            <w:proofErr w:type="gramStart"/>
            <w:r w:rsidRPr="00A4340C">
              <w:t>на</w:t>
            </w:r>
            <w:proofErr w:type="gramEnd"/>
            <w:r w:rsidRPr="00A4340C">
              <w:t>:</w:t>
            </w:r>
          </w:p>
          <w:p w:rsidR="00A4340C" w:rsidRPr="00A4340C" w:rsidRDefault="00A4340C" w:rsidP="00A4340C">
            <w:pPr>
              <w:pStyle w:val="Style5"/>
              <w:spacing w:line="240" w:lineRule="auto"/>
              <w:ind w:firstLine="33"/>
              <w:jc w:val="both"/>
            </w:pPr>
            <w:r w:rsidRPr="00A4340C">
              <w:t xml:space="preserve">укрепление </w:t>
            </w:r>
            <w:proofErr w:type="spellStart"/>
            <w:proofErr w:type="gramStart"/>
            <w:r w:rsidRPr="00A4340C">
              <w:t>материально-техничес</w:t>
            </w:r>
            <w:r w:rsidR="000E0030">
              <w:t>-</w:t>
            </w:r>
            <w:r w:rsidRPr="00A4340C">
              <w:t>кой</w:t>
            </w:r>
            <w:proofErr w:type="spellEnd"/>
            <w:proofErr w:type="gramEnd"/>
            <w:r w:rsidRPr="00A4340C">
              <w:t xml:space="preserve"> базы и развитие противопожарной </w:t>
            </w:r>
            <w:proofErr w:type="spellStart"/>
            <w:r w:rsidRPr="00A4340C">
              <w:t>ин</w:t>
            </w:r>
            <w:r w:rsidR="000E0030">
              <w:t>-</w:t>
            </w:r>
            <w:r w:rsidRPr="00A4340C">
              <w:t>фраструктуры</w:t>
            </w:r>
            <w:proofErr w:type="spellEnd"/>
            <w:r w:rsidRPr="00A4340C">
              <w:t xml:space="preserve"> в </w:t>
            </w:r>
            <w:proofErr w:type="spellStart"/>
            <w:r w:rsidRPr="00A4340C">
              <w:t>муни</w:t>
            </w:r>
            <w:r w:rsidR="000E0030">
              <w:t>-</w:t>
            </w:r>
            <w:r w:rsidRPr="00A4340C">
              <w:t>ципальных</w:t>
            </w:r>
            <w:proofErr w:type="spellEnd"/>
            <w:r w:rsidRPr="00A4340C">
              <w:t xml:space="preserve"> </w:t>
            </w:r>
            <w:proofErr w:type="spellStart"/>
            <w:r w:rsidRPr="00A4340C">
              <w:t>образо</w:t>
            </w:r>
            <w:r w:rsidR="000E0030">
              <w:t>-</w:t>
            </w:r>
            <w:r w:rsidRPr="00A4340C">
              <w:t>вательных</w:t>
            </w:r>
            <w:proofErr w:type="spellEnd"/>
            <w:r w:rsidRPr="00A4340C">
              <w:t xml:space="preserve"> организациях, в том числе на </w:t>
            </w:r>
            <w:proofErr w:type="spellStart"/>
            <w:r w:rsidRPr="00A4340C">
              <w:rPr>
                <w:rStyle w:val="s111"/>
                <w:rFonts w:eastAsia="Calibri"/>
              </w:rPr>
              <w:t>испол</w:t>
            </w:r>
            <w:r w:rsidR="000E0030">
              <w:rPr>
                <w:rStyle w:val="s111"/>
                <w:rFonts w:eastAsia="Calibri"/>
              </w:rPr>
              <w:t>-</w:t>
            </w:r>
            <w:r w:rsidRPr="00A4340C">
              <w:rPr>
                <w:rStyle w:val="s111"/>
                <w:rFonts w:eastAsia="Calibri"/>
              </w:rPr>
              <w:t>нение</w:t>
            </w:r>
            <w:proofErr w:type="spellEnd"/>
            <w:r w:rsidRPr="00A4340C">
              <w:rPr>
                <w:rStyle w:val="s111"/>
                <w:rFonts w:eastAsia="Calibri"/>
              </w:rPr>
              <w:t xml:space="preserve"> предписаний надзорных органов по устранению нарушений законодательства в сфере образования в </w:t>
            </w:r>
            <w:proofErr w:type="spellStart"/>
            <w:r w:rsidRPr="00A4340C">
              <w:rPr>
                <w:rStyle w:val="s111"/>
                <w:rFonts w:eastAsia="Calibri"/>
              </w:rPr>
              <w:t>госу</w:t>
            </w:r>
            <w:r w:rsidR="000E0030">
              <w:rPr>
                <w:rStyle w:val="s111"/>
                <w:rFonts w:eastAsia="Calibri"/>
              </w:rPr>
              <w:t>-</w:t>
            </w:r>
            <w:r w:rsidRPr="00A4340C">
              <w:rPr>
                <w:rStyle w:val="s111"/>
                <w:rFonts w:eastAsia="Calibri"/>
              </w:rPr>
              <w:t>дарственных</w:t>
            </w:r>
            <w:proofErr w:type="spellEnd"/>
            <w:r w:rsidRPr="00A4340C">
              <w:rPr>
                <w:rStyle w:val="s111"/>
                <w:rFonts w:eastAsia="Calibri"/>
              </w:rPr>
              <w:t xml:space="preserve"> и </w:t>
            </w:r>
            <w:proofErr w:type="spellStart"/>
            <w:r w:rsidRPr="00A4340C">
              <w:rPr>
                <w:rStyle w:val="s111"/>
                <w:rFonts w:eastAsia="Calibri"/>
              </w:rPr>
              <w:t>муни</w:t>
            </w:r>
            <w:r w:rsidR="000E0030">
              <w:rPr>
                <w:rStyle w:val="s111"/>
                <w:rFonts w:eastAsia="Calibri"/>
              </w:rPr>
              <w:t>-</w:t>
            </w:r>
            <w:r w:rsidRPr="00A4340C">
              <w:rPr>
                <w:rStyle w:val="s111"/>
                <w:rFonts w:eastAsia="Calibri"/>
              </w:rPr>
              <w:t>ципальных</w:t>
            </w:r>
            <w:proofErr w:type="spellEnd"/>
            <w:r w:rsidRPr="00A4340C">
              <w:rPr>
                <w:rStyle w:val="s111"/>
                <w:rFonts w:eastAsia="Calibri"/>
              </w:rPr>
              <w:t xml:space="preserve"> </w:t>
            </w:r>
            <w:proofErr w:type="spellStart"/>
            <w:r w:rsidRPr="00A4340C">
              <w:rPr>
                <w:rStyle w:val="s111"/>
                <w:rFonts w:eastAsia="Calibri"/>
              </w:rPr>
              <w:t>образо</w:t>
            </w:r>
            <w:r w:rsidR="000E0030">
              <w:rPr>
                <w:rStyle w:val="s111"/>
                <w:rFonts w:eastAsia="Calibri"/>
              </w:rPr>
              <w:t>-</w:t>
            </w:r>
            <w:r w:rsidRPr="00A4340C">
              <w:rPr>
                <w:rStyle w:val="s111"/>
                <w:rFonts w:eastAsia="Calibri"/>
              </w:rPr>
              <w:t>вательных</w:t>
            </w:r>
            <w:proofErr w:type="spellEnd"/>
            <w:r w:rsidRPr="00A4340C">
              <w:rPr>
                <w:rStyle w:val="s111"/>
                <w:rFonts w:eastAsia="Calibri"/>
              </w:rPr>
              <w:t xml:space="preserve"> организациях Архангельской области;</w:t>
            </w:r>
          </w:p>
          <w:p w:rsidR="00A4340C" w:rsidRPr="00A4340C" w:rsidRDefault="00A4340C" w:rsidP="00A4340C">
            <w:pPr>
              <w:pStyle w:val="Style5"/>
              <w:spacing w:line="240" w:lineRule="auto"/>
              <w:ind w:firstLine="33"/>
              <w:jc w:val="both"/>
              <w:rPr>
                <w:highlight w:val="yellow"/>
              </w:rPr>
            </w:pPr>
            <w:r w:rsidRPr="00A4340C">
              <w:rPr>
                <w:bCs/>
                <w:color w:val="000000"/>
              </w:rPr>
              <w:t xml:space="preserve">благоустройство зданий муниципальных </w:t>
            </w:r>
            <w:proofErr w:type="spellStart"/>
            <w:proofErr w:type="gramStart"/>
            <w:r w:rsidRPr="00A4340C">
              <w:rPr>
                <w:bCs/>
                <w:color w:val="000000"/>
              </w:rPr>
              <w:t>обще</w:t>
            </w:r>
            <w:r w:rsidR="000E0030">
              <w:rPr>
                <w:bCs/>
                <w:color w:val="000000"/>
              </w:rPr>
              <w:t>-</w:t>
            </w:r>
            <w:r w:rsidRPr="00A4340C">
              <w:rPr>
                <w:bCs/>
                <w:color w:val="000000"/>
              </w:rPr>
              <w:t>образовательных</w:t>
            </w:r>
            <w:proofErr w:type="spellEnd"/>
            <w:proofErr w:type="gramEnd"/>
            <w:r w:rsidRPr="00A4340C">
              <w:rPr>
                <w:bCs/>
                <w:color w:val="000000"/>
              </w:rPr>
              <w:t xml:space="preserve"> </w:t>
            </w:r>
            <w:proofErr w:type="spellStart"/>
            <w:r w:rsidRPr="00A4340C">
              <w:rPr>
                <w:bCs/>
                <w:color w:val="000000"/>
              </w:rPr>
              <w:t>органи</w:t>
            </w:r>
            <w:r w:rsidR="000E0030">
              <w:rPr>
                <w:bCs/>
                <w:color w:val="000000"/>
              </w:rPr>
              <w:t>-</w:t>
            </w:r>
            <w:r w:rsidRPr="00A4340C">
              <w:rPr>
                <w:bCs/>
                <w:color w:val="000000"/>
              </w:rPr>
              <w:t>заций</w:t>
            </w:r>
            <w:proofErr w:type="spellEnd"/>
            <w:r w:rsidRPr="00A4340C">
              <w:rPr>
                <w:bCs/>
                <w:color w:val="000000"/>
              </w:rPr>
              <w:t>;</w:t>
            </w:r>
            <w:r w:rsidR="000E0030">
              <w:rPr>
                <w:bCs/>
                <w:color w:val="000000"/>
              </w:rPr>
              <w:t xml:space="preserve"> </w:t>
            </w:r>
            <w:r w:rsidRPr="00A4340C">
              <w:t xml:space="preserve">обеспечение антитеррористической защищенности объектов образования в </w:t>
            </w:r>
            <w:proofErr w:type="spellStart"/>
            <w:r w:rsidRPr="00A4340C">
              <w:t>муни</w:t>
            </w:r>
            <w:r w:rsidR="000E0030">
              <w:t>-</w:t>
            </w:r>
            <w:r w:rsidRPr="00A4340C">
              <w:t>ципальных</w:t>
            </w:r>
            <w:proofErr w:type="spellEnd"/>
            <w:r w:rsidRPr="00A4340C">
              <w:t xml:space="preserve"> </w:t>
            </w:r>
            <w:proofErr w:type="spellStart"/>
            <w:r w:rsidRPr="00A4340C">
              <w:t>образо</w:t>
            </w:r>
            <w:r w:rsidR="000E0030">
              <w:t>-</w:t>
            </w:r>
            <w:r w:rsidRPr="00A4340C">
              <w:t>вательных</w:t>
            </w:r>
            <w:proofErr w:type="spellEnd"/>
            <w:r w:rsidRPr="00A4340C">
              <w:t xml:space="preserve"> организациях Архангельской области, </w:t>
            </w:r>
            <w:r w:rsidRPr="00A4340C">
              <w:lastRenderedPageBreak/>
              <w:t xml:space="preserve">в том числе на установку ограждений территории, на установку и обслуживание систем видеонаблюдения; 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t xml:space="preserve">проведение </w:t>
            </w:r>
            <w:proofErr w:type="spellStart"/>
            <w:proofErr w:type="gramStart"/>
            <w:r w:rsidRPr="00A4340C">
              <w:t>капи</w:t>
            </w:r>
            <w:r w:rsidR="000E0030">
              <w:t>-</w:t>
            </w:r>
            <w:r w:rsidRPr="00A4340C">
              <w:t>тального</w:t>
            </w:r>
            <w:proofErr w:type="spellEnd"/>
            <w:proofErr w:type="gramEnd"/>
            <w:r w:rsidRPr="00A4340C">
              <w:t xml:space="preserve"> ремонта </w:t>
            </w:r>
            <w:proofErr w:type="spellStart"/>
            <w:r w:rsidRPr="00A4340C">
              <w:t>муни</w:t>
            </w:r>
            <w:r w:rsidR="000E0030">
              <w:t>-</w:t>
            </w:r>
            <w:r w:rsidRPr="00A4340C">
              <w:t>ципальных</w:t>
            </w:r>
            <w:proofErr w:type="spellEnd"/>
            <w:r w:rsidRPr="00A4340C">
              <w:t xml:space="preserve"> дошкольных образовательных </w:t>
            </w:r>
            <w:proofErr w:type="spellStart"/>
            <w:r w:rsidRPr="00A4340C">
              <w:t>орга</w:t>
            </w:r>
            <w:r w:rsidR="000E0030">
              <w:t>-</w:t>
            </w:r>
            <w:r w:rsidRPr="00A4340C">
              <w:t>низаций</w:t>
            </w:r>
            <w:proofErr w:type="spellEnd"/>
            <w:r w:rsidRPr="00A4340C">
              <w:t>;</w:t>
            </w:r>
            <w:r w:rsidR="000E0030">
              <w:t xml:space="preserve"> </w:t>
            </w:r>
            <w:r w:rsidRPr="00A4340C">
              <w:rPr>
                <w:bCs/>
                <w:shd w:val="clear" w:color="auto" w:fill="FFFFFF"/>
              </w:rPr>
              <w:t xml:space="preserve">проведению капитальных ремонтов спортивных залов </w:t>
            </w:r>
            <w:r w:rsidRPr="00A4340C">
              <w:rPr>
                <w:bCs/>
                <w:shd w:val="clear" w:color="auto" w:fill="FFFFFF"/>
              </w:rPr>
              <w:br/>
              <w:t xml:space="preserve">в общеобразовательных организациях, </w:t>
            </w:r>
            <w:proofErr w:type="spellStart"/>
            <w:r w:rsidRPr="00A4340C">
              <w:rPr>
                <w:bCs/>
                <w:shd w:val="clear" w:color="auto" w:fill="FFFFFF"/>
              </w:rPr>
              <w:t>распо</w:t>
            </w:r>
            <w:r w:rsidR="000E0030">
              <w:rPr>
                <w:bCs/>
                <w:shd w:val="clear" w:color="auto" w:fill="FFFFFF"/>
              </w:rPr>
              <w:t>-</w:t>
            </w:r>
            <w:r w:rsidRPr="00A4340C">
              <w:rPr>
                <w:bCs/>
                <w:shd w:val="clear" w:color="auto" w:fill="FFFFFF"/>
              </w:rPr>
              <w:t>ложенных</w:t>
            </w:r>
            <w:proofErr w:type="spellEnd"/>
            <w:r w:rsidRPr="00A4340C">
              <w:rPr>
                <w:bCs/>
                <w:shd w:val="clear" w:color="auto" w:fill="FFFFFF"/>
              </w:rPr>
              <w:t xml:space="preserve"> в сельской местности, малых городах и поселках городского типа;</w:t>
            </w:r>
            <w:r w:rsidR="000E0030">
              <w:rPr>
                <w:bCs/>
                <w:shd w:val="clear" w:color="auto" w:fill="FFFFFF"/>
              </w:rPr>
              <w:t xml:space="preserve"> </w:t>
            </w:r>
            <w:r w:rsidRPr="00A4340C">
              <w:rPr>
                <w:bCs/>
                <w:shd w:val="clear" w:color="auto" w:fill="FFFFFF"/>
              </w:rPr>
              <w:t xml:space="preserve">оснащению медицинских кабинетов </w:t>
            </w:r>
            <w:proofErr w:type="spellStart"/>
            <w:r w:rsidRPr="00A4340C">
              <w:t>муни</w:t>
            </w:r>
            <w:r w:rsidR="000E0030">
              <w:t>-</w:t>
            </w:r>
            <w:r w:rsidRPr="00A4340C">
              <w:t>ципальных</w:t>
            </w:r>
            <w:proofErr w:type="spellEnd"/>
            <w:r w:rsidRPr="00A4340C">
              <w:t xml:space="preserve"> </w:t>
            </w:r>
            <w:proofErr w:type="spellStart"/>
            <w:r w:rsidRPr="00A4340C">
              <w:t>образо</w:t>
            </w:r>
            <w:r w:rsidR="000E0030">
              <w:t>-</w:t>
            </w:r>
            <w:r w:rsidRPr="00A4340C">
              <w:t>вательных</w:t>
            </w:r>
            <w:proofErr w:type="spellEnd"/>
            <w:r w:rsidRPr="00A4340C">
              <w:t xml:space="preserve"> организаций;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  <w:rPr>
                <w:color w:val="000000"/>
              </w:rPr>
            </w:pPr>
            <w:r w:rsidRPr="00A4340C">
              <w:rPr>
                <w:color w:val="000000"/>
              </w:rPr>
              <w:t xml:space="preserve">ремонт зданий </w:t>
            </w:r>
            <w:proofErr w:type="spellStart"/>
            <w:proofErr w:type="gramStart"/>
            <w:r w:rsidRPr="00A4340C">
              <w:rPr>
                <w:color w:val="000000"/>
              </w:rPr>
              <w:t>муни</w:t>
            </w:r>
            <w:r w:rsidR="000E0030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ципальных</w:t>
            </w:r>
            <w:proofErr w:type="spellEnd"/>
            <w:proofErr w:type="gramEnd"/>
            <w:r w:rsidRPr="00A4340C">
              <w:rPr>
                <w:color w:val="000000"/>
              </w:rPr>
              <w:t xml:space="preserve"> учреждений культуры в размере </w:t>
            </w:r>
            <w:r w:rsidRPr="00A4340C">
              <w:rPr>
                <w:color w:val="000000"/>
              </w:rPr>
              <w:br/>
              <w:t xml:space="preserve">20,0 млн. рублей (но не ниже уровня 2020 года); 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rPr>
                <w:color w:val="000000"/>
              </w:rPr>
              <w:t xml:space="preserve">оснащение </w:t>
            </w:r>
            <w:r w:rsidRPr="00A4340C">
              <w:t xml:space="preserve">детских школ искусств (по видам искусств) Архангельской области музыкальными инструментами, </w:t>
            </w:r>
            <w:proofErr w:type="spellStart"/>
            <w:proofErr w:type="gramStart"/>
            <w:r w:rsidRPr="00A4340C">
              <w:t>обору</w:t>
            </w:r>
            <w:r w:rsidR="000E0030">
              <w:t>-</w:t>
            </w:r>
            <w:r w:rsidRPr="00A4340C">
              <w:t>дованием</w:t>
            </w:r>
            <w:proofErr w:type="spellEnd"/>
            <w:proofErr w:type="gramEnd"/>
            <w:r w:rsidRPr="00A4340C">
              <w:t xml:space="preserve"> и учебными материалами</w:t>
            </w:r>
            <w:r w:rsidRPr="00A4340C">
              <w:rPr>
                <w:b/>
                <w:bCs/>
              </w:rPr>
              <w:t xml:space="preserve"> </w:t>
            </w:r>
            <w:r w:rsidRPr="00A4340C">
              <w:rPr>
                <w:color w:val="000000"/>
              </w:rPr>
              <w:t xml:space="preserve">в </w:t>
            </w:r>
            <w:proofErr w:type="spellStart"/>
            <w:r w:rsidRPr="00A4340C">
              <w:rPr>
                <w:color w:val="000000"/>
              </w:rPr>
              <w:t>соответ</w:t>
            </w:r>
            <w:r w:rsidR="000E0030">
              <w:rPr>
                <w:color w:val="000000"/>
              </w:rPr>
              <w:t>-</w:t>
            </w:r>
            <w:r w:rsidRPr="00A4340C">
              <w:rPr>
                <w:color w:val="000000"/>
              </w:rPr>
              <w:lastRenderedPageBreak/>
              <w:t>ствии</w:t>
            </w:r>
            <w:proofErr w:type="spellEnd"/>
            <w:r w:rsidRPr="00A4340C">
              <w:rPr>
                <w:color w:val="000000"/>
              </w:rPr>
              <w:t xml:space="preserve"> с современными стандартами </w:t>
            </w:r>
            <w:proofErr w:type="spellStart"/>
            <w:r w:rsidRPr="00A4340C">
              <w:rPr>
                <w:color w:val="000000"/>
              </w:rPr>
              <w:t>профес</w:t>
            </w:r>
            <w:r w:rsidR="000E0030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сионального</w:t>
            </w:r>
            <w:proofErr w:type="spellEnd"/>
            <w:r w:rsidRPr="00A4340C">
              <w:rPr>
                <w:color w:val="000000"/>
              </w:rPr>
              <w:t xml:space="preserve"> и </w:t>
            </w:r>
            <w:proofErr w:type="spellStart"/>
            <w:r w:rsidRPr="00A4340C">
              <w:rPr>
                <w:color w:val="000000"/>
              </w:rPr>
              <w:t>допол</w:t>
            </w:r>
            <w:r w:rsidR="000E0030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нительного</w:t>
            </w:r>
            <w:proofErr w:type="spellEnd"/>
            <w:r w:rsidRPr="00A4340C">
              <w:rPr>
                <w:color w:val="000000"/>
              </w:rPr>
              <w:t xml:space="preserve"> образования в размере 25,0 млн. рублей (на уровне </w:t>
            </w:r>
            <w:r w:rsidRPr="00A4340C">
              <w:rPr>
                <w:color w:val="000000"/>
              </w:rPr>
              <w:br/>
              <w:t xml:space="preserve">2020 года); </w:t>
            </w:r>
            <w:proofErr w:type="gramStart"/>
            <w:r w:rsidRPr="00A4340C">
              <w:t xml:space="preserve">оснащение </w:t>
            </w:r>
            <w:proofErr w:type="spellStart"/>
            <w:r w:rsidRPr="00A4340C">
              <w:t>культурно-досуговых</w:t>
            </w:r>
            <w:proofErr w:type="spellEnd"/>
            <w:r w:rsidRPr="00A4340C">
              <w:t xml:space="preserve"> учреждений транспортом </w:t>
            </w:r>
            <w:r w:rsidRPr="00A4340C">
              <w:rPr>
                <w:color w:val="000000"/>
              </w:rPr>
              <w:t>для предоставления населению услуг библиотечной системы (</w:t>
            </w:r>
            <w:proofErr w:type="spellStart"/>
            <w:r w:rsidRPr="00A4340C">
              <w:rPr>
                <w:color w:val="000000"/>
              </w:rPr>
              <w:t>библиобусы</w:t>
            </w:r>
            <w:proofErr w:type="spellEnd"/>
            <w:r w:rsidRPr="00A4340C">
              <w:rPr>
                <w:color w:val="000000"/>
              </w:rPr>
              <w:t xml:space="preserve">) и </w:t>
            </w:r>
            <w:r w:rsidRPr="00A4340C">
              <w:t xml:space="preserve">для организации гастрольной деятельности и </w:t>
            </w:r>
            <w:proofErr w:type="spellStart"/>
            <w:r w:rsidRPr="00A4340C">
              <w:t>обеспе</w:t>
            </w:r>
            <w:r w:rsidR="000E0030">
              <w:t>-</w:t>
            </w:r>
            <w:r w:rsidRPr="00A4340C">
              <w:t>чения</w:t>
            </w:r>
            <w:proofErr w:type="spellEnd"/>
            <w:r w:rsidRPr="00A4340C">
              <w:t xml:space="preserve"> услугами жителей населенных пунктов, в которых отсутствуют учреждения </w:t>
            </w:r>
            <w:proofErr w:type="spellStart"/>
            <w:r w:rsidRPr="00A4340C">
              <w:t>культурно-досугового</w:t>
            </w:r>
            <w:proofErr w:type="spellEnd"/>
            <w:r w:rsidRPr="00A4340C">
              <w:t xml:space="preserve"> типа (автобусы); оснащение государственных музеев Архангельской области, имеющих филиалы в муниципальных </w:t>
            </w:r>
            <w:proofErr w:type="spellStart"/>
            <w:r w:rsidRPr="00A4340C">
              <w:t>образо</w:t>
            </w:r>
            <w:r w:rsidR="000E0030">
              <w:t>-</w:t>
            </w:r>
            <w:r w:rsidRPr="00A4340C">
              <w:t>ваниях</w:t>
            </w:r>
            <w:proofErr w:type="spellEnd"/>
            <w:r w:rsidRPr="00A4340C">
              <w:t xml:space="preserve"> региона и проводящих выездные экскурсии, транспортом для предоставления населению музейно-просветительских услуг</w:t>
            </w:r>
            <w:bookmarkStart w:id="0" w:name="_GoBack"/>
            <w:bookmarkEnd w:id="0"/>
            <w:r w:rsidRPr="00A4340C">
              <w:t>;</w:t>
            </w:r>
            <w:proofErr w:type="gramEnd"/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proofErr w:type="gramStart"/>
            <w:r w:rsidRPr="00A4340C">
              <w:t xml:space="preserve">разработку проектно-сметной документации для реставрации и </w:t>
            </w:r>
            <w:proofErr w:type="spellStart"/>
            <w:r w:rsidRPr="00A4340C">
              <w:t>прис</w:t>
            </w:r>
            <w:r w:rsidR="000E0030">
              <w:t>-</w:t>
            </w:r>
            <w:r w:rsidRPr="00A4340C">
              <w:lastRenderedPageBreak/>
              <w:t>пособления</w:t>
            </w:r>
            <w:proofErr w:type="spellEnd"/>
            <w:r w:rsidRPr="00A4340C">
              <w:t xml:space="preserve"> зданий учреж</w:t>
            </w:r>
            <w:r w:rsidR="000E0030">
              <w:t>д</w:t>
            </w:r>
            <w:r w:rsidRPr="00A4340C">
              <w:t xml:space="preserve">ений образовательных </w:t>
            </w:r>
            <w:proofErr w:type="spellStart"/>
            <w:r w:rsidRPr="00A4340C">
              <w:t>орга</w:t>
            </w:r>
            <w:r w:rsidR="000E0030">
              <w:t>-</w:t>
            </w:r>
            <w:r w:rsidRPr="00A4340C">
              <w:t>низаций</w:t>
            </w:r>
            <w:proofErr w:type="spellEnd"/>
            <w:r w:rsidRPr="00A4340C">
              <w:t xml:space="preserve">, учреждений культуры и искусства, архивов, находящихся в муниципальной </w:t>
            </w:r>
            <w:proofErr w:type="spellStart"/>
            <w:r w:rsidRPr="00A4340C">
              <w:t>соб</w:t>
            </w:r>
            <w:r w:rsidR="000E0030">
              <w:t>-</w:t>
            </w:r>
            <w:r w:rsidRPr="00A4340C">
              <w:t>ственности</w:t>
            </w:r>
            <w:proofErr w:type="spellEnd"/>
            <w:r w:rsidRPr="00A4340C">
              <w:t xml:space="preserve"> и </w:t>
            </w:r>
            <w:proofErr w:type="spellStart"/>
            <w:r w:rsidRPr="00A4340C">
              <w:t>являю</w:t>
            </w:r>
            <w:r w:rsidR="000E0030">
              <w:t>-</w:t>
            </w:r>
            <w:r w:rsidRPr="00A4340C">
              <w:t>щихся</w:t>
            </w:r>
            <w:proofErr w:type="spellEnd"/>
            <w:r w:rsidRPr="00A4340C">
              <w:t xml:space="preserve"> объектами </w:t>
            </w:r>
            <w:proofErr w:type="spellStart"/>
            <w:r w:rsidRPr="00A4340C">
              <w:t>куль</w:t>
            </w:r>
            <w:r w:rsidR="000E0030">
              <w:t>-</w:t>
            </w:r>
            <w:r w:rsidRPr="00A4340C">
              <w:t>турного</w:t>
            </w:r>
            <w:proofErr w:type="spellEnd"/>
            <w:r w:rsidRPr="00A4340C">
              <w:t xml:space="preserve"> наследия;</w:t>
            </w:r>
            <w:proofErr w:type="gramEnd"/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t xml:space="preserve">создание модельных муниципальных </w:t>
            </w:r>
            <w:proofErr w:type="spellStart"/>
            <w:r w:rsidR="000E0030">
              <w:t>библии</w:t>
            </w:r>
            <w:r w:rsidRPr="00A4340C">
              <w:t>отек</w:t>
            </w:r>
            <w:proofErr w:type="spellEnd"/>
            <w:r w:rsidRPr="00A4340C">
              <w:t xml:space="preserve"> за счет областных средств (сверх необходимого уровня </w:t>
            </w:r>
            <w:proofErr w:type="spellStart"/>
            <w:r w:rsidRPr="00A4340C">
              <w:t>софинансиро</w:t>
            </w:r>
            <w:r w:rsidR="000E0030">
              <w:t>-</w:t>
            </w:r>
            <w:r w:rsidRPr="00A4340C">
              <w:t>вания</w:t>
            </w:r>
            <w:proofErr w:type="spellEnd"/>
            <w:r w:rsidRPr="00A4340C">
              <w:t xml:space="preserve">); 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t xml:space="preserve">капитальный ремонт и приспособление </w:t>
            </w:r>
            <w:proofErr w:type="spellStart"/>
            <w:proofErr w:type="gramStart"/>
            <w:r w:rsidRPr="00A4340C">
              <w:t>поме</w:t>
            </w:r>
            <w:r w:rsidR="000E0030">
              <w:t>-</w:t>
            </w:r>
            <w:r w:rsidRPr="00A4340C">
              <w:t>щений</w:t>
            </w:r>
            <w:proofErr w:type="spellEnd"/>
            <w:proofErr w:type="gramEnd"/>
            <w:r w:rsidRPr="00A4340C">
              <w:t xml:space="preserve"> для хранения архивных фондов муниципальных </w:t>
            </w:r>
            <w:proofErr w:type="spellStart"/>
            <w:r w:rsidRPr="00A4340C">
              <w:t>образо</w:t>
            </w:r>
            <w:r w:rsidR="000E0030">
              <w:t>-</w:t>
            </w:r>
            <w:r w:rsidRPr="00A4340C">
              <w:t>ваний</w:t>
            </w:r>
            <w:proofErr w:type="spellEnd"/>
            <w:r w:rsidRPr="00A4340C">
              <w:t xml:space="preserve"> Архангельской области; 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t xml:space="preserve">формирование учебно-лабораторной базы </w:t>
            </w:r>
            <w:proofErr w:type="gramStart"/>
            <w:r w:rsidRPr="00A4340C">
              <w:t>профессиональных</w:t>
            </w:r>
            <w:proofErr w:type="gramEnd"/>
            <w:r w:rsidRPr="00A4340C">
              <w:t xml:space="preserve"> </w:t>
            </w:r>
            <w:proofErr w:type="spellStart"/>
            <w:r w:rsidRPr="00A4340C">
              <w:t>обра</w:t>
            </w:r>
            <w:r w:rsidR="000E0030">
              <w:t>-</w:t>
            </w:r>
            <w:r w:rsidRPr="00A4340C">
              <w:t>зовательных</w:t>
            </w:r>
            <w:proofErr w:type="spellEnd"/>
            <w:r w:rsidRPr="00A4340C">
              <w:t xml:space="preserve"> </w:t>
            </w:r>
            <w:proofErr w:type="spellStart"/>
            <w:r w:rsidRPr="00A4340C">
              <w:t>органи</w:t>
            </w:r>
            <w:r w:rsidR="000E0030">
              <w:t>-</w:t>
            </w:r>
            <w:r w:rsidRPr="00A4340C">
              <w:t>заций</w:t>
            </w:r>
            <w:proofErr w:type="spellEnd"/>
            <w:r w:rsidRPr="00A4340C">
              <w:t>, находящихся в ведении министерства образования и науки Архангельской области;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  <w:rPr>
                <w:bCs/>
                <w:shd w:val="clear" w:color="auto" w:fill="FFFFFF"/>
              </w:rPr>
            </w:pPr>
            <w:r w:rsidRPr="00A4340C">
              <w:rPr>
                <w:bCs/>
                <w:shd w:val="clear" w:color="auto" w:fill="FFFFFF"/>
              </w:rPr>
              <w:t xml:space="preserve">подготовку проектно-сметной документации и </w:t>
            </w:r>
            <w:r w:rsidRPr="00A4340C">
              <w:rPr>
                <w:bCs/>
                <w:shd w:val="clear" w:color="auto" w:fill="FFFFFF"/>
              </w:rPr>
              <w:lastRenderedPageBreak/>
              <w:t xml:space="preserve">расходов, связанных с введением в </w:t>
            </w:r>
            <w:proofErr w:type="spellStart"/>
            <w:proofErr w:type="gramStart"/>
            <w:r w:rsidRPr="00A4340C">
              <w:rPr>
                <w:bCs/>
                <w:shd w:val="clear" w:color="auto" w:fill="FFFFFF"/>
              </w:rPr>
              <w:t>эксплуа</w:t>
            </w:r>
            <w:r w:rsidR="000E0030">
              <w:rPr>
                <w:bCs/>
                <w:shd w:val="clear" w:color="auto" w:fill="FFFFFF"/>
              </w:rPr>
              <w:t>-</w:t>
            </w:r>
            <w:r w:rsidRPr="00A4340C">
              <w:rPr>
                <w:bCs/>
                <w:shd w:val="clear" w:color="auto" w:fill="FFFFFF"/>
              </w:rPr>
              <w:t>тацию</w:t>
            </w:r>
            <w:proofErr w:type="spellEnd"/>
            <w:proofErr w:type="gramEnd"/>
            <w:r w:rsidRPr="00A4340C">
              <w:rPr>
                <w:bCs/>
                <w:shd w:val="clear" w:color="auto" w:fill="FFFFFF"/>
              </w:rPr>
              <w:t xml:space="preserve"> при завершении строительства (реконструкции) новых объектов, </w:t>
            </w:r>
            <w:proofErr w:type="spellStart"/>
            <w:r w:rsidRPr="00A4340C">
              <w:rPr>
                <w:bCs/>
                <w:shd w:val="clear" w:color="auto" w:fill="FFFFFF"/>
              </w:rPr>
              <w:t>финанси</w:t>
            </w:r>
            <w:r w:rsidR="000E0030">
              <w:rPr>
                <w:bCs/>
                <w:shd w:val="clear" w:color="auto" w:fill="FFFFFF"/>
              </w:rPr>
              <w:t>-</w:t>
            </w:r>
            <w:r w:rsidRPr="00A4340C">
              <w:rPr>
                <w:bCs/>
                <w:shd w:val="clear" w:color="auto" w:fill="FFFFFF"/>
              </w:rPr>
              <w:t>рование</w:t>
            </w:r>
            <w:proofErr w:type="spellEnd"/>
            <w:r w:rsidRPr="00A4340C">
              <w:rPr>
                <w:bCs/>
                <w:shd w:val="clear" w:color="auto" w:fill="FFFFFF"/>
              </w:rPr>
              <w:t xml:space="preserve"> которых осуществлялось в рамках областной адресной инвестиционной программы;</w:t>
            </w:r>
          </w:p>
          <w:p w:rsidR="00A4340C" w:rsidRPr="00A4340C" w:rsidRDefault="00A4340C" w:rsidP="00A4340C">
            <w:pPr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</w:rPr>
            </w:pPr>
            <w:proofErr w:type="gramStart"/>
            <w:r w:rsidRPr="00A4340C">
              <w:rPr>
                <w:rStyle w:val="22"/>
                <w:rFonts w:eastAsiaTheme="minorHAnsi"/>
                <w:sz w:val="24"/>
                <w:szCs w:val="24"/>
              </w:rPr>
              <w:t xml:space="preserve">2) </w:t>
            </w:r>
            <w:r w:rsidRPr="00A4340C">
              <w:t xml:space="preserve">внести изменения в </w:t>
            </w:r>
            <w:r w:rsidRPr="00A4340C">
              <w:rPr>
                <w:rFonts w:eastAsiaTheme="minorHAnsi"/>
                <w:color w:val="000000"/>
              </w:rPr>
              <w:t xml:space="preserve">областной закон от 2 июля 2013 года № 712-41-ОЗ «Об образовании в Архангельской области» в части внесения изменений </w:t>
            </w:r>
            <w:r w:rsidRPr="00A4340C">
              <w:rPr>
                <w:color w:val="000000"/>
              </w:rPr>
              <w:t>в приложение № 1 «</w:t>
            </w:r>
            <w:r w:rsidRPr="00A4340C">
              <w:t xml:space="preserve">Методика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</w:t>
            </w:r>
            <w:proofErr w:type="spellStart"/>
            <w:r w:rsidRPr="00A4340C">
              <w:t>бес</w:t>
            </w:r>
            <w:r w:rsidR="000E0030">
              <w:t>-</w:t>
            </w:r>
            <w:r w:rsidRPr="00A4340C">
              <w:t>платного</w:t>
            </w:r>
            <w:proofErr w:type="spellEnd"/>
            <w:r w:rsidRPr="00A4340C">
              <w:t xml:space="preserve"> дошкольного образования в </w:t>
            </w:r>
            <w:proofErr w:type="spellStart"/>
            <w:r w:rsidRPr="00A4340C">
              <w:t>муни</w:t>
            </w:r>
            <w:r w:rsidR="000E0030">
              <w:t>-</w:t>
            </w:r>
            <w:r w:rsidRPr="00A4340C">
              <w:t>ципальных</w:t>
            </w:r>
            <w:proofErr w:type="spellEnd"/>
            <w:r w:rsidRPr="00A4340C">
              <w:t xml:space="preserve"> дошкольных образовательных </w:t>
            </w:r>
            <w:proofErr w:type="spellStart"/>
            <w:r w:rsidRPr="00A4340C">
              <w:t>орга</w:t>
            </w:r>
            <w:r w:rsidR="000E0030">
              <w:t>-</w:t>
            </w:r>
            <w:r w:rsidRPr="00A4340C">
              <w:t>низациях</w:t>
            </w:r>
            <w:proofErr w:type="spellEnd"/>
            <w:r w:rsidRPr="00A4340C">
              <w:t xml:space="preserve">, </w:t>
            </w:r>
            <w:proofErr w:type="spellStart"/>
            <w:r w:rsidRPr="00A4340C">
              <w:t>общедоступ</w:t>
            </w:r>
            <w:r w:rsidR="00B244E6">
              <w:t>-</w:t>
            </w:r>
            <w:r w:rsidRPr="00A4340C">
              <w:lastRenderedPageBreak/>
              <w:t>ного</w:t>
            </w:r>
            <w:proofErr w:type="spellEnd"/>
            <w:r w:rsidRPr="00A4340C">
              <w:t xml:space="preserve"> и бесплатного дошкольного, </w:t>
            </w:r>
            <w:proofErr w:type="spellStart"/>
            <w:r w:rsidRPr="00A4340C">
              <w:t>началь</w:t>
            </w:r>
            <w:r w:rsidR="00B244E6">
              <w:t>-</w:t>
            </w:r>
            <w:r w:rsidRPr="00A4340C">
              <w:t>ного</w:t>
            </w:r>
            <w:proofErr w:type="spellEnd"/>
            <w:r w:rsidRPr="00A4340C">
              <w:t xml:space="preserve"> общего</w:t>
            </w:r>
            <w:proofErr w:type="gramEnd"/>
            <w:r w:rsidRPr="00A4340C">
              <w:t xml:space="preserve">, основного общего, среднего общего образования в </w:t>
            </w:r>
            <w:proofErr w:type="spellStart"/>
            <w:proofErr w:type="gramStart"/>
            <w:r w:rsidRPr="00A4340C">
              <w:t>муници</w:t>
            </w:r>
            <w:r w:rsidR="00B244E6">
              <w:t>-</w:t>
            </w:r>
            <w:r w:rsidRPr="00A4340C">
              <w:t>пальных</w:t>
            </w:r>
            <w:proofErr w:type="spellEnd"/>
            <w:proofErr w:type="gramEnd"/>
            <w:r w:rsidRPr="00A4340C">
              <w:t xml:space="preserve"> </w:t>
            </w:r>
            <w:proofErr w:type="spellStart"/>
            <w:r w:rsidRPr="00A4340C">
              <w:t>общеобразова</w:t>
            </w:r>
            <w:r w:rsidR="00B244E6">
              <w:t>-</w:t>
            </w:r>
            <w:r w:rsidRPr="00A4340C">
              <w:t>тельных</w:t>
            </w:r>
            <w:proofErr w:type="spellEnd"/>
            <w:r w:rsidRPr="00A4340C">
              <w:t xml:space="preserve"> организациях, обеспечение </w:t>
            </w:r>
            <w:proofErr w:type="spellStart"/>
            <w:r w:rsidRPr="00A4340C">
              <w:t>дополни</w:t>
            </w:r>
            <w:r w:rsidR="00B244E6">
              <w:t>-</w:t>
            </w:r>
            <w:r w:rsidRPr="00A4340C">
              <w:t>тельного</w:t>
            </w:r>
            <w:proofErr w:type="spellEnd"/>
            <w:r w:rsidRPr="00A4340C">
              <w:t xml:space="preserve"> образования детей</w:t>
            </w:r>
            <w:r w:rsidR="000E0030">
              <w:t xml:space="preserve"> </w:t>
            </w:r>
            <w:r w:rsidRPr="00A4340C">
              <w:t xml:space="preserve">в муниципальных общеобразовательных организациях» в связи с обучением детей с расстройствами </w:t>
            </w:r>
            <w:proofErr w:type="spellStart"/>
            <w:r w:rsidRPr="00A4340C">
              <w:t>аутисти</w:t>
            </w:r>
            <w:r w:rsidR="00B244E6">
              <w:t>-</w:t>
            </w:r>
            <w:r w:rsidRPr="00A4340C">
              <w:t>ческого</w:t>
            </w:r>
            <w:proofErr w:type="spellEnd"/>
            <w:r w:rsidRPr="00A4340C">
              <w:t xml:space="preserve"> спектра в </w:t>
            </w:r>
            <w:proofErr w:type="spellStart"/>
            <w:r w:rsidRPr="00A4340C">
              <w:t>обще</w:t>
            </w:r>
            <w:r w:rsidR="00B244E6">
              <w:t>-</w:t>
            </w:r>
            <w:r w:rsidRPr="00A4340C">
              <w:t>образовательных</w:t>
            </w:r>
            <w:proofErr w:type="spellEnd"/>
            <w:r w:rsidRPr="00A4340C">
              <w:t xml:space="preserve"> </w:t>
            </w:r>
            <w:proofErr w:type="spellStart"/>
            <w:r w:rsidRPr="00A4340C">
              <w:t>орга</w:t>
            </w:r>
            <w:r w:rsidR="00B244E6">
              <w:t>-</w:t>
            </w:r>
            <w:r w:rsidRPr="00A4340C">
              <w:t>низациях</w:t>
            </w:r>
            <w:proofErr w:type="spellEnd"/>
            <w:r w:rsidRPr="00A4340C">
              <w:t xml:space="preserve"> и </w:t>
            </w:r>
            <w:proofErr w:type="spellStart"/>
            <w:r w:rsidRPr="00A4340C">
              <w:t>необхо</w:t>
            </w:r>
            <w:r w:rsidR="00B244E6">
              <w:t>-</w:t>
            </w:r>
            <w:r w:rsidRPr="00A4340C">
              <w:t>димостью</w:t>
            </w:r>
            <w:proofErr w:type="spellEnd"/>
            <w:r w:rsidRPr="00A4340C">
              <w:t xml:space="preserve"> их </w:t>
            </w:r>
            <w:proofErr w:type="spellStart"/>
            <w:r w:rsidRPr="00A4340C">
              <w:rPr>
                <w:rFonts w:eastAsiaTheme="minorHAnsi"/>
              </w:rPr>
              <w:t>тьютор</w:t>
            </w:r>
            <w:r w:rsidR="00B244E6">
              <w:rPr>
                <w:rFonts w:eastAsiaTheme="minorHAnsi"/>
              </w:rPr>
              <w:t>-</w:t>
            </w:r>
            <w:r w:rsidRPr="00A4340C">
              <w:rPr>
                <w:rFonts w:eastAsiaTheme="minorHAnsi"/>
              </w:rPr>
              <w:t>ского</w:t>
            </w:r>
            <w:proofErr w:type="spellEnd"/>
            <w:r w:rsidRPr="00A4340C">
              <w:rPr>
                <w:rFonts w:eastAsiaTheme="minorHAnsi"/>
              </w:rPr>
              <w:t xml:space="preserve"> сопровождения;</w:t>
            </w:r>
          </w:p>
          <w:p w:rsidR="00A4340C" w:rsidRPr="00A4340C" w:rsidRDefault="00A4340C" w:rsidP="00A4340C">
            <w:pPr>
              <w:ind w:firstLine="33"/>
              <w:jc w:val="both"/>
              <w:rPr>
                <w:bCs/>
                <w:shd w:val="clear" w:color="auto" w:fill="FFFFFF"/>
              </w:rPr>
            </w:pPr>
            <w:r w:rsidRPr="00A4340C">
              <w:rPr>
                <w:color w:val="000000"/>
              </w:rPr>
              <w:t xml:space="preserve">3) рассмотреть </w:t>
            </w:r>
            <w:proofErr w:type="spellStart"/>
            <w:proofErr w:type="gramStart"/>
            <w:r w:rsidRPr="00A4340C">
              <w:rPr>
                <w:color w:val="000000"/>
              </w:rPr>
              <w:t>возмож</w:t>
            </w:r>
            <w:r w:rsidR="00B244E6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ность</w:t>
            </w:r>
            <w:proofErr w:type="spellEnd"/>
            <w:proofErr w:type="gramEnd"/>
            <w:r w:rsidRPr="00A4340C">
              <w:rPr>
                <w:color w:val="000000"/>
              </w:rPr>
              <w:t xml:space="preserve"> увеличения объема средств областного бюджета, выделяемых в рамках субвенции бюджетам </w:t>
            </w:r>
            <w:proofErr w:type="spellStart"/>
            <w:r w:rsidRPr="00A4340C">
              <w:rPr>
                <w:color w:val="000000"/>
              </w:rPr>
              <w:t>муници</w:t>
            </w:r>
            <w:r w:rsidR="00B244E6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пальных</w:t>
            </w:r>
            <w:proofErr w:type="spellEnd"/>
            <w:r w:rsidRPr="00A4340C">
              <w:rPr>
                <w:color w:val="000000"/>
              </w:rPr>
              <w:t xml:space="preserve"> образований Архангельской области на осуществление государственных </w:t>
            </w:r>
            <w:proofErr w:type="spellStart"/>
            <w:r w:rsidRPr="00A4340C">
              <w:rPr>
                <w:color w:val="000000"/>
              </w:rPr>
              <w:t>полно</w:t>
            </w:r>
            <w:r w:rsidR="00B244E6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мочий</w:t>
            </w:r>
            <w:proofErr w:type="spellEnd"/>
            <w:r w:rsidRPr="00A4340C">
              <w:rPr>
                <w:color w:val="000000"/>
              </w:rPr>
              <w:t xml:space="preserve"> по </w:t>
            </w:r>
            <w:proofErr w:type="spellStart"/>
            <w:r w:rsidRPr="00A4340C">
              <w:rPr>
                <w:color w:val="000000"/>
              </w:rPr>
              <w:t>предос</w:t>
            </w:r>
            <w:r w:rsidR="00B244E6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тавлению</w:t>
            </w:r>
            <w:proofErr w:type="spellEnd"/>
            <w:r w:rsidRPr="00A4340C">
              <w:rPr>
                <w:color w:val="000000"/>
              </w:rPr>
              <w:t xml:space="preserve"> жилых </w:t>
            </w:r>
            <w:proofErr w:type="spellStart"/>
            <w:r w:rsidRPr="00A4340C">
              <w:rPr>
                <w:color w:val="000000"/>
              </w:rPr>
              <w:t>пом</w:t>
            </w:r>
            <w:r w:rsidR="00B244E6">
              <w:rPr>
                <w:color w:val="000000"/>
              </w:rPr>
              <w:t>-</w:t>
            </w:r>
            <w:r w:rsidRPr="00A4340C">
              <w:rPr>
                <w:color w:val="000000"/>
              </w:rPr>
              <w:t>ещений</w:t>
            </w:r>
            <w:proofErr w:type="spellEnd"/>
            <w:r w:rsidRPr="00A4340C">
              <w:rPr>
                <w:color w:val="000000"/>
              </w:rPr>
              <w:t xml:space="preserve"> </w:t>
            </w:r>
            <w:proofErr w:type="spellStart"/>
            <w:r w:rsidRPr="00A4340C">
              <w:t>специализиро</w:t>
            </w:r>
            <w:r w:rsidR="00B244E6">
              <w:t>-</w:t>
            </w:r>
            <w:r w:rsidRPr="00A4340C">
              <w:t>ванного</w:t>
            </w:r>
            <w:proofErr w:type="spellEnd"/>
            <w:r w:rsidRPr="00A4340C">
              <w:t xml:space="preserve"> жилищного фонда</w:t>
            </w:r>
            <w:r w:rsidRPr="00A4340C">
              <w:rPr>
                <w:color w:val="000000"/>
              </w:rPr>
              <w:t xml:space="preserve"> детям-сиротам и </w:t>
            </w:r>
            <w:r w:rsidRPr="00A4340C">
              <w:rPr>
                <w:color w:val="000000"/>
              </w:rPr>
              <w:lastRenderedPageBreak/>
              <w:t>детям, оставшимся без попечения родителей, лицам из числа детей-сирот и детей, оставшихся без попечения родителей;</w:t>
            </w:r>
          </w:p>
          <w:p w:rsidR="00A4340C" w:rsidRPr="00B244E6" w:rsidRDefault="00A4340C" w:rsidP="00A4340C">
            <w:pPr>
              <w:widowControl w:val="0"/>
              <w:ind w:firstLine="33"/>
              <w:jc w:val="both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A4340C">
              <w:rPr>
                <w:rStyle w:val="22"/>
                <w:rFonts w:eastAsiaTheme="minorHAnsi"/>
                <w:sz w:val="24"/>
                <w:szCs w:val="24"/>
              </w:rPr>
              <w:t>4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) продолжить работу с Правительством Российской Федерации 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br/>
              <w:t xml:space="preserve">по выделению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Архан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гельской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области в 2021 – 2023 годах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дополни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тельных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средств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феде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рального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бюджета в рамках национального проекта «Культура» </w:t>
            </w:r>
            <w:proofErr w:type="gram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на</w:t>
            </w:r>
            <w:proofErr w:type="gram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:</w:t>
            </w:r>
          </w:p>
          <w:p w:rsidR="00A4340C" w:rsidRPr="00B244E6" w:rsidRDefault="00A4340C" w:rsidP="00A4340C">
            <w:pPr>
              <w:widowControl w:val="0"/>
              <w:ind w:firstLine="33"/>
              <w:jc w:val="both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создание </w:t>
            </w:r>
            <w:proofErr w:type="gram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модельных</w:t>
            </w:r>
            <w:proofErr w:type="gram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муниципальных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библио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тек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;</w:t>
            </w:r>
          </w:p>
          <w:p w:rsidR="00A4340C" w:rsidRPr="00A4340C" w:rsidRDefault="00A4340C" w:rsidP="00A4340C">
            <w:pPr>
              <w:widowControl w:val="0"/>
              <w:tabs>
                <w:tab w:val="left" w:pos="1412"/>
              </w:tabs>
              <w:ind w:firstLine="33"/>
              <w:jc w:val="both"/>
            </w:pP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с</w:t>
            </w:r>
            <w:r w:rsidRPr="00B244E6">
              <w:t>оздание</w:t>
            </w:r>
            <w:r w:rsidRPr="00A4340C">
              <w:t xml:space="preserve"> (</w:t>
            </w:r>
            <w:proofErr w:type="spellStart"/>
            <w:proofErr w:type="gramStart"/>
            <w:r w:rsidRPr="00A4340C">
              <w:t>реконструк</w:t>
            </w:r>
            <w:r w:rsidR="00B244E6">
              <w:t>-</w:t>
            </w:r>
            <w:r w:rsidRPr="00A4340C">
              <w:t>цию</w:t>
            </w:r>
            <w:proofErr w:type="spellEnd"/>
            <w:proofErr w:type="gramEnd"/>
            <w:r w:rsidRPr="00A4340C">
              <w:t xml:space="preserve">) и капитальный ремонт учреждений </w:t>
            </w:r>
            <w:proofErr w:type="spellStart"/>
            <w:r w:rsidRPr="00A4340C">
              <w:t>культурно-досугового</w:t>
            </w:r>
            <w:proofErr w:type="spellEnd"/>
            <w:r w:rsidRPr="00A4340C">
              <w:t xml:space="preserve"> типа в сельской местности;</w:t>
            </w:r>
          </w:p>
          <w:p w:rsidR="00A4340C" w:rsidRPr="00A4340C" w:rsidRDefault="00A4340C" w:rsidP="00A4340C">
            <w:pPr>
              <w:widowControl w:val="0"/>
              <w:tabs>
                <w:tab w:val="left" w:pos="1412"/>
              </w:tabs>
              <w:ind w:firstLine="33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A4340C">
              <w:t xml:space="preserve">оснащение </w:t>
            </w:r>
            <w:proofErr w:type="spellStart"/>
            <w:r w:rsidRPr="00A4340C">
              <w:t>образова</w:t>
            </w:r>
            <w:r w:rsidR="00B244E6">
              <w:t>-</w:t>
            </w:r>
            <w:r w:rsidRPr="00A4340C">
              <w:t>тельных</w:t>
            </w:r>
            <w:proofErr w:type="spellEnd"/>
            <w:r w:rsidRPr="00A4340C">
              <w:t xml:space="preserve"> учреждений в сфере культуры </w:t>
            </w:r>
            <w:proofErr w:type="gramStart"/>
            <w:r w:rsidRPr="00A4340C">
              <w:t>музыкальными</w:t>
            </w:r>
            <w:proofErr w:type="gramEnd"/>
            <w:r w:rsidRPr="00A4340C">
              <w:t xml:space="preserve"> </w:t>
            </w:r>
            <w:proofErr w:type="spellStart"/>
            <w:r w:rsidRPr="00A4340C">
              <w:t>инстру</w:t>
            </w:r>
            <w:r w:rsidR="00B244E6">
              <w:t>-</w:t>
            </w:r>
            <w:r w:rsidRPr="00A4340C">
              <w:t>ментами</w:t>
            </w:r>
            <w:proofErr w:type="spellEnd"/>
            <w:r w:rsidRPr="00A4340C">
              <w:t xml:space="preserve">, оборудованием и учебными </w:t>
            </w:r>
            <w:proofErr w:type="spellStart"/>
            <w:r w:rsidRPr="00A4340C">
              <w:t>материа</w:t>
            </w:r>
            <w:r w:rsidR="00B244E6">
              <w:t>-</w:t>
            </w:r>
            <w:r w:rsidRPr="00A4340C">
              <w:t>лами</w:t>
            </w:r>
            <w:proofErr w:type="spellEnd"/>
            <w:r w:rsidRPr="00A4340C">
              <w:t>;</w:t>
            </w:r>
          </w:p>
          <w:p w:rsidR="00A4340C" w:rsidRPr="00B244E6" w:rsidRDefault="00A4340C" w:rsidP="00A4340C">
            <w:pPr>
              <w:widowControl w:val="0"/>
              <w:tabs>
                <w:tab w:val="left" w:pos="1412"/>
              </w:tabs>
              <w:ind w:firstLine="33"/>
              <w:jc w:val="both"/>
              <w:rPr>
                <w:rStyle w:val="22"/>
                <w:rFonts w:eastAsiaTheme="minorHAnsi"/>
                <w:color w:val="auto"/>
                <w:sz w:val="24"/>
                <w:szCs w:val="24"/>
              </w:rPr>
            </w:pP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5) продолжить работу с Правительством 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lastRenderedPageBreak/>
              <w:t xml:space="preserve">Российской Федерации 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br/>
              <w:t xml:space="preserve">по выделению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Архан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гельской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области в 2021 – 2023 годах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допол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нительных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средств </w:t>
            </w:r>
            <w:proofErr w:type="spell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феде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-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рального</w:t>
            </w:r>
            <w:proofErr w:type="spell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бюджета </w:t>
            </w:r>
            <w:proofErr w:type="gramStart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на</w:t>
            </w:r>
            <w:proofErr w:type="gramEnd"/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:</w:t>
            </w:r>
          </w:p>
          <w:p w:rsidR="00A4340C" w:rsidRPr="00B244E6" w:rsidRDefault="00A4340C" w:rsidP="00A4340C">
            <w:pPr>
              <w:widowControl w:val="0"/>
              <w:tabs>
                <w:tab w:val="left" w:pos="1412"/>
              </w:tabs>
              <w:ind w:firstLine="33"/>
              <w:jc w:val="both"/>
            </w:pP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проведение ремонтно-реставрационных работ объектов культурного наследия Архангельской области;</w:t>
            </w:r>
            <w:r w:rsid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B244E6">
              <w:t xml:space="preserve">реализацию мероприятий по модернизации </w:t>
            </w:r>
            <w:proofErr w:type="spellStart"/>
            <w:proofErr w:type="gramStart"/>
            <w:r w:rsidRPr="00B244E6">
              <w:t>муници</w:t>
            </w:r>
            <w:r w:rsidR="00B244E6">
              <w:t>-</w:t>
            </w:r>
            <w:r w:rsidRPr="00B244E6">
              <w:t>пальных</w:t>
            </w:r>
            <w:proofErr w:type="spellEnd"/>
            <w:proofErr w:type="gramEnd"/>
            <w:r w:rsidRPr="00B244E6">
              <w:t xml:space="preserve"> детских школ искусств (по видам искусств)</w:t>
            </w:r>
            <w:r w:rsidRPr="00B244E6">
              <w:rPr>
                <w:rStyle w:val="22"/>
                <w:rFonts w:eastAsiaTheme="minorHAnsi"/>
                <w:color w:val="auto"/>
                <w:sz w:val="24"/>
                <w:szCs w:val="24"/>
              </w:rPr>
              <w:t>.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  <w:rPr>
                <w:bCs/>
                <w:shd w:val="clear" w:color="auto" w:fill="FFFFFF"/>
              </w:rPr>
            </w:pPr>
            <w:r w:rsidRPr="00A4340C">
              <w:rPr>
                <w:bCs/>
                <w:shd w:val="clear" w:color="auto" w:fill="FFFFFF"/>
              </w:rPr>
              <w:t xml:space="preserve">3. </w:t>
            </w:r>
            <w:proofErr w:type="gramStart"/>
            <w:r w:rsidRPr="00A4340C">
              <w:t xml:space="preserve">Рекомендовать Правительству </w:t>
            </w:r>
            <w:proofErr w:type="spellStart"/>
            <w:r w:rsidRPr="00A4340C">
              <w:t>Архан</w:t>
            </w:r>
            <w:r w:rsidR="00B244E6">
              <w:t>-</w:t>
            </w:r>
            <w:r w:rsidRPr="00A4340C">
              <w:t>гельской</w:t>
            </w:r>
            <w:proofErr w:type="spellEnd"/>
            <w:r w:rsidRPr="00A4340C">
              <w:t xml:space="preserve"> области при подготовке проекта областного закона </w:t>
            </w:r>
            <w:r w:rsidR="00B244E6">
              <w:br/>
            </w:r>
            <w:r w:rsidRPr="00A4340C">
              <w:t xml:space="preserve">«Об областном бюджете на 2021 год и на плановый период 2022 и 2023 годов» ко второму чтению включить в областную адресную инвестиционную программу на 2021 год строительство </w:t>
            </w:r>
            <w:proofErr w:type="spellStart"/>
            <w:r w:rsidRPr="00A4340C">
              <w:t>пристрой</w:t>
            </w:r>
            <w:r w:rsidR="00B244E6">
              <w:t>-</w:t>
            </w:r>
            <w:r w:rsidRPr="00A4340C">
              <w:t>ки</w:t>
            </w:r>
            <w:proofErr w:type="spellEnd"/>
            <w:r w:rsidRPr="00A4340C">
              <w:t xml:space="preserve"> к основному зданию Государственного автономного </w:t>
            </w:r>
            <w:proofErr w:type="spellStart"/>
            <w:r w:rsidRPr="00A4340C">
              <w:t>образо</w:t>
            </w:r>
            <w:r w:rsidR="00B244E6">
              <w:t>-</w:t>
            </w:r>
            <w:r w:rsidRPr="00A4340C">
              <w:t>вательного</w:t>
            </w:r>
            <w:proofErr w:type="spellEnd"/>
            <w:r w:rsidRPr="00A4340C">
              <w:t xml:space="preserve"> учреждения </w:t>
            </w:r>
            <w:r w:rsidRPr="00A4340C">
              <w:lastRenderedPageBreak/>
              <w:t xml:space="preserve">дополнительного профессионального образования «Архангельский областной институт открытого образования». </w:t>
            </w:r>
            <w:proofErr w:type="gramEnd"/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t xml:space="preserve">4. Рекомендовать министерству строительства Архангельской области проработать вопрос повторного применения существующих проектно-сметных документаций на строительство домов культуры в сельской местности, как типовых проектов </w:t>
            </w:r>
            <w:proofErr w:type="spellStart"/>
            <w:proofErr w:type="gramStart"/>
            <w:r w:rsidRPr="00A4340C">
              <w:t>многофунк</w:t>
            </w:r>
            <w:r w:rsidR="00B244E6">
              <w:t>-</w:t>
            </w:r>
            <w:r w:rsidRPr="00A4340C">
              <w:t>циональных</w:t>
            </w:r>
            <w:proofErr w:type="spellEnd"/>
            <w:proofErr w:type="gramEnd"/>
            <w:r w:rsidRPr="00A4340C">
              <w:t xml:space="preserve"> </w:t>
            </w:r>
            <w:proofErr w:type="spellStart"/>
            <w:r w:rsidRPr="00A4340C">
              <w:t>культурно-досуговых</w:t>
            </w:r>
            <w:proofErr w:type="spellEnd"/>
            <w:r w:rsidRPr="00A4340C">
              <w:t xml:space="preserve"> учреждений различной мощности.</w:t>
            </w:r>
          </w:p>
          <w:p w:rsidR="00A4340C" w:rsidRPr="00A4340C" w:rsidRDefault="00B244E6" w:rsidP="00A4340C">
            <w:pPr>
              <w:widowControl w:val="0"/>
              <w:ind w:firstLine="33"/>
              <w:jc w:val="both"/>
            </w:pPr>
            <w:r>
              <w:t xml:space="preserve">5. </w:t>
            </w:r>
            <w:proofErr w:type="gramStart"/>
            <w:r w:rsidR="00A4340C" w:rsidRPr="00A4340C">
              <w:t xml:space="preserve">Рекомендовать министерству культуры Архангельской области рассмотреть </w:t>
            </w:r>
            <w:proofErr w:type="spellStart"/>
            <w:r w:rsidR="00A4340C" w:rsidRPr="00A4340C">
              <w:t>возмож</w:t>
            </w:r>
            <w:r>
              <w:t>-</w:t>
            </w:r>
            <w:r w:rsidR="00A4340C" w:rsidRPr="00A4340C">
              <w:t>ность</w:t>
            </w:r>
            <w:proofErr w:type="spellEnd"/>
            <w:r w:rsidR="00A4340C" w:rsidRPr="00A4340C">
              <w:t xml:space="preserve"> оказания целевой поддержки:</w:t>
            </w:r>
            <w:r>
              <w:t xml:space="preserve"> </w:t>
            </w:r>
            <w:r w:rsidR="00A4340C" w:rsidRPr="00A4340C">
              <w:t xml:space="preserve">проекта «Международный </w:t>
            </w:r>
            <w:proofErr w:type="spellStart"/>
            <w:r w:rsidR="00A4340C" w:rsidRPr="00A4340C">
              <w:t>кино</w:t>
            </w:r>
            <w:r>
              <w:t>-</w:t>
            </w:r>
            <w:r w:rsidR="00A4340C" w:rsidRPr="00A4340C">
              <w:t>фестиваль</w:t>
            </w:r>
            <w:proofErr w:type="spellEnd"/>
            <w:r w:rsidR="00A4340C" w:rsidRPr="00A4340C">
              <w:t xml:space="preserve"> стран Арктики </w:t>
            </w:r>
            <w:r w:rsidR="00A4340C" w:rsidRPr="00A4340C">
              <w:rPr>
                <w:lang w:val="en-US"/>
              </w:rPr>
              <w:t>Arctic</w:t>
            </w:r>
            <w:r w:rsidR="00A4340C" w:rsidRPr="00A4340C">
              <w:t xml:space="preserve"> </w:t>
            </w:r>
            <w:r w:rsidR="00A4340C" w:rsidRPr="00A4340C">
              <w:rPr>
                <w:lang w:val="en-US"/>
              </w:rPr>
              <w:t>open</w:t>
            </w:r>
            <w:r w:rsidR="00A4340C" w:rsidRPr="00A4340C">
              <w:t xml:space="preserve">» или включения данного проекта в перечень общественно-значимых </w:t>
            </w:r>
            <w:r w:rsidR="00A4340C" w:rsidRPr="00A4340C">
              <w:lastRenderedPageBreak/>
              <w:t xml:space="preserve">мероприятий </w:t>
            </w:r>
            <w:proofErr w:type="spellStart"/>
            <w:r w:rsidR="00A4340C" w:rsidRPr="00A4340C">
              <w:t>Архангель</w:t>
            </w:r>
            <w:r>
              <w:t>-</w:t>
            </w:r>
            <w:r w:rsidR="00A4340C" w:rsidRPr="00A4340C">
              <w:t>ской</w:t>
            </w:r>
            <w:proofErr w:type="spellEnd"/>
            <w:r w:rsidR="00A4340C" w:rsidRPr="00A4340C">
              <w:t xml:space="preserve"> области в рамках г</w:t>
            </w:r>
            <w:r w:rsidR="00A4340C" w:rsidRPr="00A4340C">
              <w:rPr>
                <w:bCs/>
              </w:rPr>
              <w:t xml:space="preserve">осударственной программы </w:t>
            </w:r>
            <w:proofErr w:type="spellStart"/>
            <w:r w:rsidR="00A4340C" w:rsidRPr="00A4340C">
              <w:rPr>
                <w:bCs/>
              </w:rPr>
              <w:t>Архангель</w:t>
            </w:r>
            <w:r>
              <w:rPr>
                <w:bCs/>
              </w:rPr>
              <w:t>-</w:t>
            </w:r>
            <w:r w:rsidR="00A4340C" w:rsidRPr="00A4340C">
              <w:rPr>
                <w:bCs/>
              </w:rPr>
              <w:t>ской</w:t>
            </w:r>
            <w:proofErr w:type="spellEnd"/>
            <w:r w:rsidR="00A4340C" w:rsidRPr="00A4340C">
              <w:rPr>
                <w:bCs/>
              </w:rPr>
              <w:t xml:space="preserve"> области </w:t>
            </w:r>
            <w:r w:rsidR="00A4340C" w:rsidRPr="00A4340C">
              <w:t>«Культура Русского Севера»;</w:t>
            </w:r>
            <w:proofErr w:type="gramEnd"/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rPr>
                <w:shd w:val="clear" w:color="auto" w:fill="FFFFFF"/>
              </w:rPr>
              <w:t>объекта культурного наследия народов Российской Федерации регионального значения</w:t>
            </w:r>
            <w:r w:rsidR="00B244E6">
              <w:rPr>
                <w:shd w:val="clear" w:color="auto" w:fill="FFFFFF"/>
              </w:rPr>
              <w:t xml:space="preserve"> </w:t>
            </w:r>
            <w:r w:rsidRPr="00A4340C">
              <w:rPr>
                <w:shd w:val="clear" w:color="auto" w:fill="FFFFFF"/>
              </w:rPr>
              <w:t xml:space="preserve">«Пароход-колесник «Н.В. Гоголь», в том числе </w:t>
            </w:r>
            <w:r w:rsidRPr="00A4340C">
              <w:t>мероприятий, посвященных 110-летнему юбилею парохода,</w:t>
            </w:r>
            <w:r w:rsidRPr="00A4340C">
              <w:rPr>
                <w:shd w:val="clear" w:color="auto" w:fill="FFFFFF"/>
              </w:rPr>
              <w:t xml:space="preserve"> или его возмездного </w:t>
            </w:r>
            <w:proofErr w:type="spellStart"/>
            <w:proofErr w:type="gramStart"/>
            <w:r w:rsidRPr="00A4340C">
              <w:rPr>
                <w:shd w:val="clear" w:color="auto" w:fill="FFFFFF"/>
              </w:rPr>
              <w:t>исполь</w:t>
            </w:r>
            <w:r w:rsidR="00B244E6">
              <w:rPr>
                <w:shd w:val="clear" w:color="auto" w:fill="FFFFFF"/>
              </w:rPr>
              <w:t>-</w:t>
            </w:r>
            <w:r w:rsidRPr="00A4340C">
              <w:rPr>
                <w:shd w:val="clear" w:color="auto" w:fill="FFFFFF"/>
              </w:rPr>
              <w:t>зования</w:t>
            </w:r>
            <w:proofErr w:type="spellEnd"/>
            <w:proofErr w:type="gramEnd"/>
            <w:r w:rsidRPr="00A4340C">
              <w:rPr>
                <w:shd w:val="clear" w:color="auto" w:fill="FFFFFF"/>
              </w:rPr>
              <w:t xml:space="preserve"> в качестве площадки для </w:t>
            </w:r>
            <w:proofErr w:type="spellStart"/>
            <w:r w:rsidRPr="00A4340C">
              <w:rPr>
                <w:shd w:val="clear" w:color="auto" w:fill="FFFFFF"/>
              </w:rPr>
              <w:t>прове</w:t>
            </w:r>
            <w:r w:rsidR="00B244E6">
              <w:rPr>
                <w:shd w:val="clear" w:color="auto" w:fill="FFFFFF"/>
              </w:rPr>
              <w:t>-</w:t>
            </w:r>
            <w:r w:rsidRPr="00A4340C">
              <w:rPr>
                <w:shd w:val="clear" w:color="auto" w:fill="FFFFFF"/>
              </w:rPr>
              <w:t>дения</w:t>
            </w:r>
            <w:proofErr w:type="spellEnd"/>
            <w:r w:rsidRPr="00A4340C">
              <w:rPr>
                <w:shd w:val="clear" w:color="auto" w:fill="FFFFFF"/>
              </w:rPr>
              <w:t xml:space="preserve"> культурно-массовых мероприятий;</w:t>
            </w:r>
          </w:p>
          <w:p w:rsidR="00A4340C" w:rsidRPr="00A4340C" w:rsidRDefault="00A4340C" w:rsidP="00A4340C">
            <w:pPr>
              <w:widowControl w:val="0"/>
              <w:ind w:firstLine="33"/>
              <w:jc w:val="both"/>
            </w:pPr>
            <w:r w:rsidRPr="00A4340C">
              <w:t xml:space="preserve">проведения в г. Архангельске ежегодного </w:t>
            </w:r>
            <w:proofErr w:type="spellStart"/>
            <w:proofErr w:type="gramStart"/>
            <w:r w:rsidRPr="00A4340C">
              <w:t>междуна</w:t>
            </w:r>
            <w:r w:rsidR="00B244E6">
              <w:t>-</w:t>
            </w:r>
            <w:r w:rsidRPr="00A4340C">
              <w:t>родного</w:t>
            </w:r>
            <w:proofErr w:type="spellEnd"/>
            <w:proofErr w:type="gramEnd"/>
            <w:r w:rsidRPr="00A4340C">
              <w:t xml:space="preserve"> туристического форума «Мир </w:t>
            </w:r>
            <w:proofErr w:type="spellStart"/>
            <w:r w:rsidRPr="00A4340C">
              <w:t>путе</w:t>
            </w:r>
            <w:r w:rsidR="00B244E6">
              <w:t>-</w:t>
            </w:r>
            <w:r w:rsidRPr="00A4340C">
              <w:t>шествий</w:t>
            </w:r>
            <w:proofErr w:type="spellEnd"/>
            <w:r w:rsidRPr="00A4340C">
              <w:t xml:space="preserve"> Поморья» и включить данный проект в перечень общественно-значимых мероприятий Архангельской области в рамках г</w:t>
            </w:r>
            <w:r w:rsidRPr="00A4340C">
              <w:rPr>
                <w:bCs/>
              </w:rPr>
              <w:t xml:space="preserve">осударственной программы </w:t>
            </w:r>
            <w:proofErr w:type="spellStart"/>
            <w:r w:rsidRPr="00A4340C">
              <w:rPr>
                <w:bCs/>
              </w:rPr>
              <w:t>Архангель</w:t>
            </w:r>
            <w:r w:rsidR="00B244E6">
              <w:rPr>
                <w:bCs/>
              </w:rPr>
              <w:t>-</w:t>
            </w:r>
            <w:r w:rsidRPr="00A4340C">
              <w:rPr>
                <w:bCs/>
              </w:rPr>
              <w:t>ской</w:t>
            </w:r>
            <w:proofErr w:type="spellEnd"/>
            <w:r w:rsidRPr="00A4340C">
              <w:rPr>
                <w:bCs/>
              </w:rPr>
              <w:t xml:space="preserve"> области </w:t>
            </w:r>
            <w:r w:rsidR="00B244E6">
              <w:t xml:space="preserve">«Культура </w:t>
            </w:r>
            <w:r w:rsidR="00B244E6">
              <w:lastRenderedPageBreak/>
              <w:t>Русского Севера»</w:t>
            </w:r>
            <w:r w:rsidRPr="00A4340C">
              <w:t xml:space="preserve"> </w:t>
            </w:r>
          </w:p>
          <w:p w:rsidR="00A4340C" w:rsidRPr="00F25426" w:rsidRDefault="00A4340C" w:rsidP="00A4340C">
            <w:pPr>
              <w:pStyle w:val="a4"/>
              <w:spacing w:after="0"/>
              <w:ind w:left="0"/>
            </w:pPr>
          </w:p>
        </w:tc>
      </w:tr>
    </w:tbl>
    <w:p w:rsidR="00A4340C" w:rsidRDefault="00A4340C" w:rsidP="00A4340C">
      <w:pPr>
        <w:jc w:val="center"/>
      </w:pPr>
    </w:p>
    <w:p w:rsidR="00A4340C" w:rsidRDefault="00A4340C" w:rsidP="00A4340C">
      <w:pPr>
        <w:jc w:val="center"/>
      </w:pPr>
      <w:r>
        <w:t>_________________</w:t>
      </w:r>
    </w:p>
    <w:p w:rsidR="006B2937" w:rsidRDefault="006B2937"/>
    <w:sectPr w:rsidR="006B2937" w:rsidSect="00A4340C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BE" w:rsidRDefault="00B247BE" w:rsidP="001A0091">
      <w:r>
        <w:separator/>
      </w:r>
    </w:p>
  </w:endnote>
  <w:endnote w:type="continuationSeparator" w:id="0">
    <w:p w:rsidR="00B247BE" w:rsidRDefault="00B247BE" w:rsidP="001A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BE" w:rsidRDefault="00B247BE" w:rsidP="001A0091">
      <w:r>
        <w:separator/>
      </w:r>
    </w:p>
  </w:footnote>
  <w:footnote w:type="continuationSeparator" w:id="0">
    <w:p w:rsidR="00B247BE" w:rsidRDefault="00B247BE" w:rsidP="001A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114"/>
      <w:docPartObj>
        <w:docPartGallery w:val="Page Numbers (Top of Page)"/>
        <w:docPartUnique/>
      </w:docPartObj>
    </w:sdtPr>
    <w:sdtContent>
      <w:p w:rsidR="00D571D9" w:rsidRDefault="00D571D9">
        <w:pPr>
          <w:pStyle w:val="a6"/>
          <w:jc w:val="center"/>
        </w:pPr>
        <w:fldSimple w:instr=" PAGE   \* MERGEFORMAT ">
          <w:r w:rsidR="00B244E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686"/>
    <w:multiLevelType w:val="hybridMultilevel"/>
    <w:tmpl w:val="16503C70"/>
    <w:lvl w:ilvl="0" w:tplc="20EAF2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14146"/>
    <w:multiLevelType w:val="hybridMultilevel"/>
    <w:tmpl w:val="9348D01A"/>
    <w:lvl w:ilvl="0" w:tplc="085892A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CC6138"/>
    <w:multiLevelType w:val="hybridMultilevel"/>
    <w:tmpl w:val="C40C9464"/>
    <w:lvl w:ilvl="0" w:tplc="6AF23D3A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ACC65C2"/>
    <w:multiLevelType w:val="hybridMultilevel"/>
    <w:tmpl w:val="9348D01A"/>
    <w:lvl w:ilvl="0" w:tplc="085892A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77D5EDC"/>
    <w:multiLevelType w:val="hybridMultilevel"/>
    <w:tmpl w:val="BD5CE3E0"/>
    <w:lvl w:ilvl="0" w:tplc="C4546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0CC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6C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29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AED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C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C3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3C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AA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2872EB"/>
    <w:multiLevelType w:val="hybridMultilevel"/>
    <w:tmpl w:val="0CACA8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933C1D"/>
    <w:multiLevelType w:val="hybridMultilevel"/>
    <w:tmpl w:val="71648B12"/>
    <w:lvl w:ilvl="0" w:tplc="06A2BCBE">
      <w:start w:val="1"/>
      <w:numFmt w:val="decimal"/>
      <w:lvlText w:val="%1)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7">
    <w:nsid w:val="403B5D13"/>
    <w:multiLevelType w:val="hybridMultilevel"/>
    <w:tmpl w:val="A43E4658"/>
    <w:lvl w:ilvl="0" w:tplc="F9BE81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0E5461A"/>
    <w:multiLevelType w:val="hybridMultilevel"/>
    <w:tmpl w:val="EE388074"/>
    <w:lvl w:ilvl="0" w:tplc="DFB6D5C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4B80099"/>
    <w:multiLevelType w:val="hybridMultilevel"/>
    <w:tmpl w:val="AE126184"/>
    <w:lvl w:ilvl="0" w:tplc="D9C2662E">
      <w:start w:val="1"/>
      <w:numFmt w:val="decimal"/>
      <w:lvlText w:val="%1)"/>
      <w:lvlJc w:val="left"/>
      <w:pPr>
        <w:ind w:left="99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48" w:hanging="180"/>
      </w:pPr>
      <w:rPr>
        <w:rFonts w:cs="Times New Roman"/>
      </w:rPr>
    </w:lvl>
  </w:abstractNum>
  <w:abstractNum w:abstractNumId="10">
    <w:nsid w:val="5ADA2FFB"/>
    <w:multiLevelType w:val="hybridMultilevel"/>
    <w:tmpl w:val="94B42FB0"/>
    <w:lvl w:ilvl="0" w:tplc="3A86A8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AE5BC0"/>
    <w:multiLevelType w:val="hybridMultilevel"/>
    <w:tmpl w:val="21FC31F2"/>
    <w:lvl w:ilvl="0" w:tplc="93D6E4F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C08D7"/>
    <w:multiLevelType w:val="hybridMultilevel"/>
    <w:tmpl w:val="C40C9464"/>
    <w:lvl w:ilvl="0" w:tplc="6AF23D3A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72FD1E23"/>
    <w:multiLevelType w:val="hybridMultilevel"/>
    <w:tmpl w:val="C2AA6706"/>
    <w:lvl w:ilvl="0" w:tplc="CE3A0F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40C"/>
    <w:rsid w:val="00081962"/>
    <w:rsid w:val="000E0030"/>
    <w:rsid w:val="001A0091"/>
    <w:rsid w:val="00563F61"/>
    <w:rsid w:val="006B2937"/>
    <w:rsid w:val="00772FA7"/>
    <w:rsid w:val="00A4340C"/>
    <w:rsid w:val="00B244E6"/>
    <w:rsid w:val="00B247BE"/>
    <w:rsid w:val="00C80CA0"/>
    <w:rsid w:val="00CF36FF"/>
    <w:rsid w:val="00D5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A4340C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A4340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43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3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3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A4340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4340C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">
    <w:name w:val="Основной текст2"/>
    <w:basedOn w:val="a"/>
    <w:rsid w:val="00A4340C"/>
    <w:pPr>
      <w:widowControl w:val="0"/>
      <w:shd w:val="clear" w:color="auto" w:fill="FFFFFF"/>
      <w:spacing w:before="300" w:after="60" w:line="0" w:lineRule="atLeast"/>
      <w:jc w:val="center"/>
    </w:pPr>
    <w:rPr>
      <w:color w:val="000000"/>
      <w:sz w:val="19"/>
      <w:szCs w:val="19"/>
    </w:rPr>
  </w:style>
  <w:style w:type="character" w:customStyle="1" w:styleId="5">
    <w:name w:val="Основной текст (5)_"/>
    <w:basedOn w:val="a0"/>
    <w:link w:val="50"/>
    <w:rsid w:val="00A4340C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340C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paragraph" w:styleId="a9">
    <w:name w:val="List Paragraph"/>
    <w:basedOn w:val="a"/>
    <w:link w:val="aa"/>
    <w:uiPriority w:val="99"/>
    <w:qFormat/>
    <w:rsid w:val="00A4340C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A43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4340C"/>
    <w:rPr>
      <w:color w:val="0000FF" w:themeColor="hyperlink"/>
      <w:u w:val="single"/>
    </w:rPr>
  </w:style>
  <w:style w:type="character" w:customStyle="1" w:styleId="speakername">
    <w:name w:val="speaker_name"/>
    <w:basedOn w:val="a0"/>
    <w:rsid w:val="00A4340C"/>
  </w:style>
  <w:style w:type="character" w:customStyle="1" w:styleId="s7">
    <w:name w:val="s7"/>
    <w:basedOn w:val="a0"/>
    <w:uiPriority w:val="99"/>
    <w:rsid w:val="00A4340C"/>
  </w:style>
  <w:style w:type="paragraph" w:styleId="20">
    <w:name w:val="Body Text Indent 2"/>
    <w:basedOn w:val="a"/>
    <w:link w:val="21"/>
    <w:uiPriority w:val="99"/>
    <w:unhideWhenUsed/>
    <w:rsid w:val="00A434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A43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 стиль"/>
    <w:basedOn w:val="a"/>
    <w:uiPriority w:val="99"/>
    <w:rsid w:val="00A4340C"/>
    <w:pPr>
      <w:ind w:firstLine="709"/>
      <w:jc w:val="both"/>
    </w:pPr>
    <w:rPr>
      <w:sz w:val="28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A4340C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A4340C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Title"/>
    <w:basedOn w:val="a"/>
    <w:link w:val="af0"/>
    <w:uiPriority w:val="99"/>
    <w:qFormat/>
    <w:rsid w:val="00A4340C"/>
    <w:pPr>
      <w:spacing w:line="360" w:lineRule="auto"/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f"/>
    <w:uiPriority w:val="99"/>
    <w:rsid w:val="00A434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e-comment-title4">
    <w:name w:val="fe-comment-title4"/>
    <w:basedOn w:val="a0"/>
    <w:uiPriority w:val="99"/>
    <w:rsid w:val="00A4340C"/>
    <w:rPr>
      <w:rFonts w:cs="Times New Roman"/>
    </w:rPr>
  </w:style>
  <w:style w:type="character" w:customStyle="1" w:styleId="fs1002">
    <w:name w:val="fs1002"/>
    <w:basedOn w:val="a0"/>
    <w:uiPriority w:val="99"/>
    <w:rsid w:val="00A4340C"/>
    <w:rPr>
      <w:rFonts w:cs="Times New Roman"/>
    </w:rPr>
  </w:style>
  <w:style w:type="character" w:customStyle="1" w:styleId="3">
    <w:name w:val="Заголовок №3"/>
    <w:basedOn w:val="a0"/>
    <w:uiPriority w:val="99"/>
    <w:rsid w:val="00A4340C"/>
    <w:rPr>
      <w:rFonts w:ascii="Times New Roman" w:hAnsi="Times New Roman" w:cs="Times New Roman"/>
      <w:b/>
      <w:bCs/>
      <w:color w:val="323232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0">
    <w:name w:val="Основной текст (3)"/>
    <w:basedOn w:val="a0"/>
    <w:uiPriority w:val="99"/>
    <w:rsid w:val="00A4340C"/>
    <w:rPr>
      <w:rFonts w:ascii="Times New Roman" w:hAnsi="Times New Roman" w:cs="Times New Roman"/>
      <w:b/>
      <w:bCs/>
      <w:color w:val="30303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af1">
    <w:name w:val="Strong"/>
    <w:basedOn w:val="a0"/>
    <w:uiPriority w:val="99"/>
    <w:qFormat/>
    <w:rsid w:val="00A4340C"/>
    <w:rPr>
      <w:rFonts w:cs="Times New Roman"/>
      <w:b/>
      <w:bCs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A4340C"/>
    <w:rPr>
      <w:rFonts w:ascii="Calibri" w:eastAsia="Calibri" w:hAnsi="Calibri" w:cs="Times New Roman"/>
    </w:rPr>
  </w:style>
  <w:style w:type="paragraph" w:styleId="af3">
    <w:name w:val="footer"/>
    <w:basedOn w:val="a"/>
    <w:link w:val="af2"/>
    <w:uiPriority w:val="99"/>
    <w:semiHidden/>
    <w:rsid w:val="00A434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rsid w:val="00A4340C"/>
    <w:pPr>
      <w:spacing w:before="100" w:beforeAutospacing="1" w:after="100" w:afterAutospacing="1"/>
    </w:pPr>
  </w:style>
  <w:style w:type="character" w:styleId="af5">
    <w:name w:val="Emphasis"/>
    <w:basedOn w:val="a0"/>
    <w:uiPriority w:val="99"/>
    <w:qFormat/>
    <w:rsid w:val="00A4340C"/>
    <w:rPr>
      <w:rFonts w:cs="Times New Roman"/>
      <w:i/>
      <w:iCs/>
    </w:rPr>
  </w:style>
  <w:style w:type="paragraph" w:customStyle="1" w:styleId="s3">
    <w:name w:val="s_3"/>
    <w:basedOn w:val="a"/>
    <w:uiPriority w:val="99"/>
    <w:rsid w:val="00A4340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A4340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uiPriority w:val="99"/>
    <w:rsid w:val="00A4340C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43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uiPriority w:val="99"/>
    <w:semiHidden/>
    <w:rsid w:val="00A4340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4340C"/>
    <w:rPr>
      <w:rFonts w:ascii="Calibri" w:eastAsia="Calibri" w:hAnsi="Calibri" w:cs="Times New Roman"/>
    </w:rPr>
  </w:style>
  <w:style w:type="paragraph" w:styleId="af8">
    <w:name w:val="No Spacing"/>
    <w:uiPriority w:val="99"/>
    <w:qFormat/>
    <w:rsid w:val="00A434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rsid w:val="00A4340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A4340C"/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(2)"/>
    <w:basedOn w:val="a0"/>
    <w:rsid w:val="00A4340C"/>
    <w:rPr>
      <w:rFonts w:ascii="Times New Roman" w:hAnsi="Times New Roman" w:cs="Times New Roman"/>
      <w:color w:val="484848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Style5">
    <w:name w:val="Style5"/>
    <w:basedOn w:val="a"/>
    <w:uiPriority w:val="99"/>
    <w:rsid w:val="00A4340C"/>
    <w:pPr>
      <w:widowControl w:val="0"/>
      <w:autoSpaceDE w:val="0"/>
      <w:autoSpaceDN w:val="0"/>
      <w:adjustRightInd w:val="0"/>
      <w:spacing w:line="312" w:lineRule="exact"/>
      <w:jc w:val="right"/>
    </w:pPr>
  </w:style>
  <w:style w:type="character" w:customStyle="1" w:styleId="FontStyle11">
    <w:name w:val="Font Style11"/>
    <w:basedOn w:val="a0"/>
    <w:uiPriority w:val="99"/>
    <w:rsid w:val="00A4340C"/>
    <w:rPr>
      <w:rFonts w:ascii="Times New Roman" w:hAnsi="Times New Roman" w:cs="Times New Roman"/>
      <w:sz w:val="26"/>
      <w:szCs w:val="26"/>
    </w:rPr>
  </w:style>
  <w:style w:type="character" w:customStyle="1" w:styleId="s111">
    <w:name w:val="s111"/>
    <w:basedOn w:val="a0"/>
    <w:uiPriority w:val="99"/>
    <w:rsid w:val="00A434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2020-11-12T10:53:00Z</dcterms:created>
  <dcterms:modified xsi:type="dcterms:W3CDTF">2020-11-12T10:53:00Z</dcterms:modified>
</cp:coreProperties>
</file>