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A8" w:rsidRDefault="001B3AA8" w:rsidP="001B3AA8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1B3AA8" w:rsidRPr="00D10BDD" w:rsidRDefault="001B3AA8" w:rsidP="001B3AA8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1B3AA8" w:rsidRDefault="001B3AA8" w:rsidP="001B3AA8">
      <w:pPr>
        <w:pStyle w:val="a3"/>
        <w:ind w:firstLine="11700"/>
        <w:rPr>
          <w:b/>
          <w:sz w:val="24"/>
          <w:szCs w:val="24"/>
        </w:rPr>
      </w:pPr>
    </w:p>
    <w:p w:rsidR="001B3AA8" w:rsidRPr="00D10BDD" w:rsidRDefault="001B3AA8" w:rsidP="001B3AA8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«26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 2020</w:t>
      </w:r>
      <w:r w:rsidRPr="00D10BDD">
        <w:rPr>
          <w:sz w:val="24"/>
          <w:szCs w:val="24"/>
        </w:rPr>
        <w:t xml:space="preserve"> года</w:t>
      </w:r>
    </w:p>
    <w:p w:rsidR="001B3AA8" w:rsidRPr="00D10BDD" w:rsidRDefault="001B3AA8" w:rsidP="001B3AA8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1B3AA8" w:rsidRDefault="001B3AA8" w:rsidP="001B3AA8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1B3AA8" w:rsidRDefault="001B3AA8" w:rsidP="001B3AA8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1B3AA8" w:rsidRPr="00100F79" w:rsidRDefault="001B3AA8" w:rsidP="001B3AA8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1B3AA8" w:rsidRDefault="001B3AA8" w:rsidP="001B3AA8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1B3AA8" w:rsidTr="009255D9">
        <w:tc>
          <w:tcPr>
            <w:tcW w:w="534" w:type="dxa"/>
            <w:vAlign w:val="center"/>
          </w:tcPr>
          <w:p w:rsidR="001B3AA8" w:rsidRPr="005366CD" w:rsidRDefault="001B3AA8" w:rsidP="009255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1B3AA8" w:rsidRPr="005366CD" w:rsidRDefault="001B3AA8" w:rsidP="009255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B3AA8" w:rsidRPr="005366CD" w:rsidRDefault="001B3AA8" w:rsidP="009255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1B3AA8" w:rsidRPr="005366CD" w:rsidRDefault="001B3AA8" w:rsidP="009255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B3AA8" w:rsidRPr="005366CD" w:rsidRDefault="001B3AA8" w:rsidP="009255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B3AA8" w:rsidRPr="005366CD" w:rsidRDefault="001B3AA8" w:rsidP="009255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B3AA8" w:rsidRPr="005366CD" w:rsidRDefault="001B3AA8" w:rsidP="009255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1B3AA8" w:rsidRPr="005366CD" w:rsidRDefault="001B3AA8" w:rsidP="009255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1B3AA8" w:rsidRPr="005366CD" w:rsidRDefault="001B3AA8" w:rsidP="009255D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1B3AA8" w:rsidRDefault="001B3AA8" w:rsidP="009255D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1B3AA8" w:rsidRPr="007F1B93" w:rsidRDefault="001B3AA8" w:rsidP="009255D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1B3AA8" w:rsidRDefault="001B3AA8" w:rsidP="009255D9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1B3AA8" w:rsidRPr="007F1B93" w:rsidRDefault="001B3AA8" w:rsidP="009255D9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1B3AA8" w:rsidRPr="005366CD" w:rsidRDefault="001B3AA8" w:rsidP="009255D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1B3AA8" w:rsidRPr="005366CD" w:rsidRDefault="001B3AA8" w:rsidP="009255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B3AA8" w:rsidRPr="00B27A37" w:rsidTr="009255D9">
        <w:tc>
          <w:tcPr>
            <w:tcW w:w="534" w:type="dxa"/>
          </w:tcPr>
          <w:p w:rsidR="001B3AA8" w:rsidRPr="005366CD" w:rsidRDefault="001B3AA8" w:rsidP="009255D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1B3AA8" w:rsidRPr="005366CD" w:rsidRDefault="001B3AA8" w:rsidP="009255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1B3AA8" w:rsidRPr="005366CD" w:rsidRDefault="001B3AA8" w:rsidP="009255D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1B3AA8" w:rsidRPr="00EE4528" w:rsidRDefault="001B3AA8" w:rsidP="009255D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B3AA8" w:rsidRPr="005366CD" w:rsidRDefault="001B3AA8" w:rsidP="009255D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1B3AA8" w:rsidRPr="005366CD" w:rsidRDefault="001B3AA8" w:rsidP="009255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B3AA8" w:rsidRPr="00B27A37" w:rsidTr="009255D9">
        <w:tc>
          <w:tcPr>
            <w:tcW w:w="534" w:type="dxa"/>
          </w:tcPr>
          <w:p w:rsidR="001B3AA8" w:rsidRPr="005366CD" w:rsidRDefault="001B3AA8" w:rsidP="009255D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B3AA8" w:rsidRPr="001B3AA8" w:rsidRDefault="001B3AA8" w:rsidP="001B3AA8">
            <w:pPr>
              <w:jc w:val="both"/>
              <w:rPr>
                <w:bCs/>
                <w:color w:val="000000"/>
                <w:spacing w:val="-2"/>
              </w:rPr>
            </w:pPr>
            <w:r>
              <w:t xml:space="preserve">   </w:t>
            </w:r>
            <w:r w:rsidRPr="001B3AA8">
              <w:t xml:space="preserve">Проект областного закона № </w:t>
            </w:r>
            <w:r w:rsidRPr="001B3AA8">
              <w:rPr>
                <w:color w:val="000000"/>
              </w:rPr>
              <w:t>пз</w:t>
            </w:r>
            <w:proofErr w:type="gramStart"/>
            <w:r w:rsidRPr="001B3AA8">
              <w:rPr>
                <w:color w:val="000000"/>
              </w:rPr>
              <w:t>7</w:t>
            </w:r>
            <w:proofErr w:type="gramEnd"/>
            <w:r w:rsidRPr="001B3AA8">
              <w:rPr>
                <w:color w:val="000000"/>
              </w:rPr>
              <w:t>/</w:t>
            </w:r>
            <w:r w:rsidRPr="001B3AA8">
              <w:rPr>
                <w:color w:val="000000"/>
              </w:rPr>
              <w:t xml:space="preserve">509 </w:t>
            </w:r>
            <w:r w:rsidR="00B13AA2">
              <w:rPr>
                <w:color w:val="000000"/>
              </w:rPr>
              <w:t>«О внесении изменения</w:t>
            </w:r>
            <w:r w:rsidRPr="001B3AA8">
              <w:rPr>
                <w:color w:val="000000"/>
              </w:rPr>
              <w:t xml:space="preserve"> в статью 1 областного закона «О внесении изменений в областной закон «О прожиточном минимуме в Архангельской области» и о внесении изменения в статью 25.2 областного закона «О социальной поддержке семей, воспитывающих детей, в Архангельской области» (внесен в порядке законодательной необходимости).</w:t>
            </w:r>
          </w:p>
          <w:p w:rsidR="001B3AA8" w:rsidRPr="001B3AA8" w:rsidRDefault="001B3AA8" w:rsidP="009255D9">
            <w:pPr>
              <w:jc w:val="both"/>
            </w:pPr>
          </w:p>
          <w:p w:rsidR="001B3AA8" w:rsidRPr="001B3AA8" w:rsidRDefault="001B3AA8" w:rsidP="009255D9">
            <w:pPr>
              <w:pStyle w:val="aa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B3AA8" w:rsidRPr="001B3AA8" w:rsidRDefault="001B3AA8" w:rsidP="009255D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A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 внесения:</w:t>
            </w:r>
            <w:r w:rsidRPr="001B3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AA8" w:rsidRPr="001B3AA8" w:rsidRDefault="001B3AA8" w:rsidP="009255D9">
            <w:pPr>
              <w:jc w:val="both"/>
            </w:pPr>
            <w:r w:rsidRPr="001B3AA8">
              <w:t xml:space="preserve">Губернатор Архангельской области А.В. </w:t>
            </w:r>
            <w:proofErr w:type="spellStart"/>
            <w:r w:rsidRPr="001B3AA8">
              <w:t>Цыбульский</w:t>
            </w:r>
            <w:proofErr w:type="spellEnd"/>
          </w:p>
          <w:p w:rsidR="001B3AA8" w:rsidRPr="001B3AA8" w:rsidRDefault="001B3AA8" w:rsidP="009255D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AA8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1B3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AA8" w:rsidRPr="001B3AA8" w:rsidRDefault="001B3AA8" w:rsidP="009255D9">
            <w:pPr>
              <w:jc w:val="both"/>
              <w:rPr>
                <w:b/>
              </w:rPr>
            </w:pPr>
            <w:r w:rsidRPr="001B3AA8">
              <w:t>Молчанова Елена Владимировна – министр труда, занятости и социального развития Архангельской области</w:t>
            </w:r>
            <w:r w:rsidRPr="001B3AA8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1B3AA8" w:rsidRPr="001B3AA8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1B3AA8" w:rsidRPr="001B3AA8">
              <w:rPr>
                <w:color w:val="000000"/>
                <w:sz w:val="24"/>
                <w:szCs w:val="24"/>
              </w:rPr>
              <w:t>В адрес Правительства Архангельской области поступили обновленные данные Министерства труда и социальной защиты Российской Федерации        об изменении прогнозной величины прожиточного минимума пенсионера          в целом по Российской Федерации на 2021 год в связи с обновлением Министерством экономического развития Российской Федерации материалов по вопросу о сценарных условиях, основных параметрах прогноза социально- экономического развития Российской Федерации и прогнозируемых изменениях цен (тарифов) на товары</w:t>
            </w:r>
            <w:proofErr w:type="gramEnd"/>
            <w:r w:rsidR="001B3AA8" w:rsidRPr="001B3AA8">
              <w:rPr>
                <w:color w:val="000000"/>
                <w:sz w:val="24"/>
                <w:szCs w:val="24"/>
              </w:rPr>
              <w:t xml:space="preserve">, услуги хозяйствующих субъектов, </w:t>
            </w:r>
            <w:r w:rsidR="001B3AA8" w:rsidRPr="001B3AA8">
              <w:rPr>
                <w:color w:val="000000"/>
                <w:sz w:val="24"/>
                <w:szCs w:val="24"/>
              </w:rPr>
              <w:lastRenderedPageBreak/>
              <w:t>осуществляющих регулируемые виды деятельности в инфраструктурном секторе, на 2021 год и плановый период 2022 и 2023 годов в базовом варианте. Такая величина составила 10022 рубля.</w:t>
            </w:r>
          </w:p>
          <w:p w:rsidR="001B3AA8" w:rsidRPr="001B3AA8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1B3AA8" w:rsidRPr="001B3AA8">
              <w:rPr>
                <w:color w:val="000000"/>
                <w:sz w:val="24"/>
                <w:szCs w:val="24"/>
              </w:rPr>
              <w:t xml:space="preserve">Поскольку прогнозная величина прожиточного минимума пенсионера      в целом по Российской Федерации учитывается при расчете величины прожиточного минимума пенсионера в Архангельской области возникла необходимость в корректировке величины прожиточного минимума пенсионера в Архангельской области, установленной на 2021 год областным законом от 29 сентября 2020 года № 308-19-ОЗ </w:t>
            </w:r>
            <w:r w:rsidR="001B3AA8" w:rsidRPr="001B3AA8">
              <w:rPr>
                <w:sz w:val="24"/>
                <w:szCs w:val="24"/>
              </w:rPr>
              <w:t>«О внесении изменений              в областной закон «О прожиточном минимуме в Архангельской области»           и о внесении изменения</w:t>
            </w:r>
            <w:proofErr w:type="gramEnd"/>
            <w:r w:rsidR="001B3AA8" w:rsidRPr="001B3AA8">
              <w:rPr>
                <w:sz w:val="24"/>
                <w:szCs w:val="24"/>
              </w:rPr>
              <w:t xml:space="preserve"> в статью 25.2 областного закона «О социальной поддержке семей, воспитывающих детей, в Архангельской области» (далее –  </w:t>
            </w:r>
            <w:r w:rsidR="001B3AA8" w:rsidRPr="001B3AA8">
              <w:rPr>
                <w:color w:val="000000"/>
                <w:sz w:val="24"/>
                <w:szCs w:val="24"/>
              </w:rPr>
              <w:t>областной закон № 308-19-ОЗ).</w:t>
            </w:r>
          </w:p>
          <w:p w:rsidR="001B3AA8" w:rsidRPr="001B3AA8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1B3AA8" w:rsidRPr="001B3AA8">
              <w:rPr>
                <w:color w:val="000000"/>
                <w:sz w:val="24"/>
                <w:szCs w:val="24"/>
              </w:rPr>
              <w:t>Размер величины прожиточного мини</w:t>
            </w:r>
            <w:r>
              <w:rPr>
                <w:color w:val="000000"/>
                <w:sz w:val="24"/>
                <w:szCs w:val="24"/>
              </w:rPr>
              <w:t xml:space="preserve">мума пенсионера в Архангельской </w:t>
            </w:r>
            <w:r w:rsidR="001B3AA8" w:rsidRPr="001B3AA8">
              <w:rPr>
                <w:color w:val="000000"/>
                <w:sz w:val="24"/>
                <w:szCs w:val="24"/>
              </w:rPr>
              <w:t xml:space="preserve">области, определенный в законопроекте (12014 рублей), на 611 рублей больше размера величины прожиточного минимума пенсионера в Архангельской области, установленного областным законом № 308-19-ОЗ (11403 рубля)           и </w:t>
            </w:r>
            <w:r w:rsidR="001B3AA8" w:rsidRPr="001B3AA8">
              <w:rPr>
                <w:color w:val="000000"/>
                <w:sz w:val="24"/>
                <w:szCs w:val="24"/>
              </w:rPr>
              <w:lastRenderedPageBreak/>
              <w:t>на 1059 рублей больше размера величины прожиточного минимума пенсионера в Архангельской области, установленного на 2020 год (10955 рублей).</w:t>
            </w:r>
          </w:p>
          <w:p w:rsidR="001B3AA8" w:rsidRPr="001B3AA8" w:rsidRDefault="001B3AA8" w:rsidP="001B3AA8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3AA8" w:rsidRPr="001B3AA8" w:rsidRDefault="001B3AA8" w:rsidP="001B3AA8">
            <w:pPr>
              <w:pStyle w:val="a3"/>
              <w:ind w:firstLine="0"/>
              <w:rPr>
                <w:sz w:val="24"/>
                <w:szCs w:val="24"/>
              </w:rPr>
            </w:pPr>
            <w:r w:rsidRPr="001B3AA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1B3AA8" w:rsidRPr="001B3AA8" w:rsidRDefault="001B3AA8" w:rsidP="001B3AA8">
            <w:pPr>
              <w:pStyle w:val="a3"/>
              <w:ind w:firstLine="0"/>
              <w:rPr>
                <w:sz w:val="24"/>
                <w:szCs w:val="24"/>
              </w:rPr>
            </w:pPr>
            <w:r w:rsidRPr="001B3AA8">
              <w:rPr>
                <w:sz w:val="24"/>
                <w:szCs w:val="24"/>
              </w:rPr>
              <w:t>Решили:</w:t>
            </w:r>
          </w:p>
          <w:p w:rsidR="001B3AA8" w:rsidRPr="001B3AA8" w:rsidRDefault="00D84763" w:rsidP="00D84763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</w:t>
            </w:r>
            <w:r w:rsidR="001B3AA8" w:rsidRPr="001B3AA8">
              <w:t xml:space="preserve">На основании дефиса первого абзаца второго пункта 2 статьи                   16 областного закона № 62-8-ОЗ «О порядке разработки, принятия                       и вступления в силу законов Архангельской области» </w:t>
            </w:r>
            <w:r>
              <w:t>предложить</w:t>
            </w:r>
            <w:r w:rsidR="001B3AA8" w:rsidRPr="001B3AA8">
              <w:t xml:space="preserve"> депутатам областного Собрания депутатов данный проект областного закона принять в двух чтениях на очередной двадцатой сессии Архангельского областного Собрания </w:t>
            </w:r>
            <w:r w:rsidR="001B3AA8" w:rsidRPr="001B3AA8">
              <w:lastRenderedPageBreak/>
              <w:t>депутатов.</w:t>
            </w:r>
          </w:p>
          <w:p w:rsidR="001B3AA8" w:rsidRPr="001B3AA8" w:rsidRDefault="001B3AA8" w:rsidP="001B3AA8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B3AA8" w:rsidRPr="00B27A37" w:rsidTr="009255D9">
        <w:tc>
          <w:tcPr>
            <w:tcW w:w="534" w:type="dxa"/>
          </w:tcPr>
          <w:p w:rsidR="001B3AA8" w:rsidRDefault="001B3AA8" w:rsidP="009255D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1B3AA8" w:rsidRDefault="001B3AA8" w:rsidP="001B3AA8">
            <w:pPr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C929DA">
              <w:t xml:space="preserve">Проект областного закона № </w:t>
            </w:r>
            <w:r w:rsidRPr="00D84763">
              <w:rPr>
                <w:color w:val="000000"/>
              </w:rPr>
              <w:t>пз</w:t>
            </w:r>
            <w:proofErr w:type="gramStart"/>
            <w:r w:rsidRPr="00D84763">
              <w:rPr>
                <w:color w:val="000000"/>
              </w:rPr>
              <w:t>7</w:t>
            </w:r>
            <w:proofErr w:type="gramEnd"/>
            <w:r w:rsidRPr="00D84763">
              <w:rPr>
                <w:color w:val="000000"/>
              </w:rPr>
              <w:t>/</w:t>
            </w:r>
            <w:r w:rsidRPr="00D84763">
              <w:rPr>
                <w:color w:val="000000"/>
              </w:rPr>
              <w:t>458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84763">
              <w:rPr>
                <w:color w:val="000000"/>
              </w:rPr>
              <w:t xml:space="preserve">«О внесении изменений </w:t>
            </w:r>
            <w:r w:rsidRPr="001B3AA8">
              <w:rPr>
                <w:color w:val="000000"/>
              </w:rPr>
              <w:t>в областной закон «О социальной поддержке семей, воспитывающих детей, в Архангельской области».</w:t>
            </w:r>
          </w:p>
          <w:p w:rsidR="001B3AA8" w:rsidRPr="00C929DA" w:rsidRDefault="001B3AA8" w:rsidP="001B3AA8">
            <w:pPr>
              <w:jc w:val="both"/>
            </w:pPr>
          </w:p>
          <w:p w:rsidR="001B3AA8" w:rsidRPr="00673E75" w:rsidRDefault="001B3AA8" w:rsidP="009255D9">
            <w:pPr>
              <w:ind w:firstLine="708"/>
              <w:jc w:val="both"/>
            </w:pPr>
          </w:p>
        </w:tc>
        <w:tc>
          <w:tcPr>
            <w:tcW w:w="2836" w:type="dxa"/>
          </w:tcPr>
          <w:p w:rsidR="001B3AA8" w:rsidRDefault="001B3AA8" w:rsidP="001B3AA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</w:p>
          <w:p w:rsidR="001B3AA8" w:rsidRPr="001B3AA8" w:rsidRDefault="001B3AA8" w:rsidP="001B3AA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AA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Pr="001B3AA8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Архангельского областного Собрания депутатов Пивков С.А.</w:t>
            </w:r>
            <w:r w:rsidRPr="001B3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AA8" w:rsidRPr="00C929DA" w:rsidRDefault="001B3AA8" w:rsidP="001B3A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AA8" w:rsidRPr="001B3AA8" w:rsidRDefault="001B3AA8" w:rsidP="009255D9">
            <w:pPr>
              <w:jc w:val="both"/>
              <w:rPr>
                <w:b/>
              </w:rPr>
            </w:pPr>
            <w:r w:rsidRPr="001B3AA8">
              <w:t xml:space="preserve">Пивков Сергей Анатольевич – депутат </w:t>
            </w:r>
            <w:r w:rsidRPr="001B3AA8">
              <w:rPr>
                <w:color w:val="000000"/>
              </w:rPr>
              <w:t>Архангельского областного Собрания депутатов.</w:t>
            </w:r>
          </w:p>
        </w:tc>
        <w:tc>
          <w:tcPr>
            <w:tcW w:w="4110" w:type="dxa"/>
          </w:tcPr>
          <w:p w:rsidR="00D84763" w:rsidRPr="00D84763" w:rsidRDefault="00D84763" w:rsidP="00D84763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D84763">
              <w:t>Проектом предлагается установить право на ежегодное социальное пособие на приобретение рабочих тетрадей детям, обучающимся по программе начального общего образования в общеобразовательной организации,             для семей со среднедушевым доходом, размер которого не превышает величину прожиточного минимума на душу населения, установленную постановлением Правительства Архангельской области.</w:t>
            </w:r>
          </w:p>
          <w:p w:rsidR="00D84763" w:rsidRPr="00D84763" w:rsidRDefault="00D84763" w:rsidP="00D8476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D84763">
              <w:rPr>
                <w:color w:val="000000"/>
              </w:rPr>
              <w:t xml:space="preserve">На данный проект областного закона имеются заключения правового управления аппарата Архангельского областного Собрания депутатов                 и </w:t>
            </w:r>
            <w:r w:rsidRPr="00D84763">
              <w:t>Управления Министерства юстиции Российской Федерации                             по Архангельской области и Ненецкому автономному округу.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763">
              <w:rPr>
                <w:color w:val="000000"/>
                <w:sz w:val="24"/>
                <w:szCs w:val="24"/>
              </w:rPr>
              <w:t>В данных заключениях отмечено, что в финансово-экономическом обосновании законопроекта не определены источники финансирования расходов по реализации будущего закона.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763">
              <w:rPr>
                <w:color w:val="000000"/>
                <w:sz w:val="24"/>
                <w:szCs w:val="24"/>
              </w:rPr>
              <w:t xml:space="preserve">В соответствии с пунктом 1 статьи 83 Бюджетного кодекса Российской 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>Федерации</w:t>
            </w:r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если принимается закон </w:t>
            </w:r>
            <w:r w:rsidRPr="00D84763">
              <w:rPr>
                <w:color w:val="000000"/>
                <w:sz w:val="24"/>
                <w:szCs w:val="24"/>
              </w:rPr>
              <w:lastRenderedPageBreak/>
              <w:t xml:space="preserve">либо другой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</w:t>
            </w:r>
            <w:proofErr w:type="spellStart"/>
            <w:r w:rsidRPr="00D84763">
              <w:rPr>
                <w:color w:val="000000"/>
                <w:sz w:val="24"/>
                <w:szCs w:val="24"/>
              </w:rPr>
              <w:t>публично</w:t>
            </w:r>
            <w:r w:rsidRPr="00D84763">
              <w:rPr>
                <w:color w:val="000000"/>
                <w:sz w:val="24"/>
                <w:szCs w:val="24"/>
              </w:rPr>
              <w:softHyphen/>
              <w:t>правовым</w:t>
            </w:r>
            <w:proofErr w:type="spellEnd"/>
            <w:r w:rsidRPr="00D84763">
              <w:rPr>
                <w:color w:val="000000"/>
                <w:sz w:val="24"/>
                <w:szCs w:val="24"/>
              </w:rPr>
              <w:t xml:space="preserve">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              в соответствующие бюджеты бюджетной системы Российской Федерации.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763">
              <w:rPr>
                <w:color w:val="000000"/>
                <w:sz w:val="24"/>
                <w:szCs w:val="24"/>
              </w:rPr>
              <w:t>Согласно абзацу одиннадцатому статьи 2 областного закона                      от 19 сентября 2001 года № 62-8-ОЗ «О порядке разработки, принятия                и вступления в силу законов Архангельской области» финансов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экономическое обоснование законопроекта – документ, содержащий финансово-экономическую оценку законопроекта, в том числе расчетные данные об изменении (отсутствии изменений) размеров доходов и расходов областного бюджета либо иных дополнительных финансовых затратах           или об изменении (отсутствии изменений) </w:t>
            </w:r>
            <w:r w:rsidRPr="00D84763">
              <w:rPr>
                <w:color w:val="000000"/>
                <w:sz w:val="24"/>
                <w:szCs w:val="24"/>
              </w:rPr>
              <w:lastRenderedPageBreak/>
              <w:t xml:space="preserve">расходных и бюджетных обязательств Архангельской области, а также 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>определяющий</w:t>
            </w:r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источники финансирования расходов по реализации будущего закона.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763">
              <w:rPr>
                <w:color w:val="000000"/>
                <w:sz w:val="24"/>
                <w:szCs w:val="24"/>
              </w:rPr>
              <w:t xml:space="preserve">К законопроекту поступило отрицательное заключение временно исполняющего обязанности Губернатора Архангельской области       </w:t>
            </w:r>
            <w:proofErr w:type="spellStart"/>
            <w:r w:rsidRPr="00D84763">
              <w:rPr>
                <w:color w:val="000000"/>
                <w:sz w:val="24"/>
                <w:szCs w:val="24"/>
              </w:rPr>
              <w:t>Цыбульского</w:t>
            </w:r>
            <w:proofErr w:type="spellEnd"/>
            <w:r w:rsidRPr="00D84763">
              <w:rPr>
                <w:color w:val="000000"/>
                <w:sz w:val="24"/>
                <w:szCs w:val="24"/>
              </w:rPr>
              <w:t xml:space="preserve"> А.В. 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 xml:space="preserve">В соответствии с Федеральным законом от 29 декабря 2012 года               № 273-ФЗ «Об образовании в Российской Федерации» (далее – Федеральный закон № 273-ФЗ) обеспечение учебниками и учебными пособиями, а также </w:t>
            </w:r>
            <w:proofErr w:type="spellStart"/>
            <w:r w:rsidRPr="00D84763">
              <w:rPr>
                <w:color w:val="000000"/>
                <w:sz w:val="24"/>
                <w:szCs w:val="24"/>
              </w:rPr>
              <w:t>учебно</w:t>
            </w:r>
            <w:r w:rsidRPr="00D84763">
              <w:rPr>
                <w:color w:val="000000"/>
                <w:sz w:val="24"/>
                <w:szCs w:val="24"/>
              </w:rPr>
              <w:softHyphen/>
              <w:t>методическими</w:t>
            </w:r>
            <w:proofErr w:type="spellEnd"/>
            <w:r w:rsidRPr="00D84763">
              <w:rPr>
                <w:color w:val="000000"/>
                <w:sz w:val="24"/>
                <w:szCs w:val="24"/>
              </w:rPr>
              <w:t xml:space="preserve">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        за счет бюджетных ассигнований федерального бюджета, бюджетов субъектов Российской Федерации</w:t>
            </w:r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и местных бюджетов.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 xml:space="preserve">В целях реализации указанных положений Федерального закона              № 273-Ф3 даны разъяснения </w:t>
            </w:r>
            <w:proofErr w:type="spellStart"/>
            <w:r w:rsidRPr="00D84763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84763">
              <w:rPr>
                <w:color w:val="000000"/>
                <w:sz w:val="24"/>
                <w:szCs w:val="24"/>
              </w:rPr>
              <w:t xml:space="preserve"> России (письмо от 23 октября 2019 года № ВБ-47/04) (далее – разъяснения </w:t>
            </w:r>
            <w:proofErr w:type="spellStart"/>
            <w:r w:rsidRPr="00D84763">
              <w:rPr>
                <w:color w:val="000000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D84763">
              <w:rPr>
                <w:color w:val="000000"/>
                <w:sz w:val="24"/>
                <w:szCs w:val="24"/>
              </w:rPr>
              <w:t xml:space="preserve"> России), согласно которым образовательная организация самостоятельно определяет список учебников и учебных пособий, необходимых для реализации основных общеобразовательных программ общего образования (далее – список)                 и допускает их к использованию (пункт 9 части 3 статьи 28 Федерального закона № 273-ФЗ).</w:t>
            </w:r>
            <w:proofErr w:type="gramEnd"/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763">
              <w:rPr>
                <w:color w:val="000000"/>
                <w:sz w:val="24"/>
                <w:szCs w:val="24"/>
              </w:rPr>
              <w:t>Рабочая тетрадь является учебным пособием, имеющим особый дидактический аппарат, способствующий самостоятельной работе учащегося над освоением учебного предмета.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763">
              <w:rPr>
                <w:color w:val="000000"/>
                <w:sz w:val="24"/>
                <w:szCs w:val="24"/>
              </w:rPr>
              <w:t>Если образовательная организация включает конкретную рабочую тетрадь в список, который утверждается приказом директора образовательной организации, то возникают правовые основания для их закупки за бюджетные средства.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D84763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84763">
              <w:rPr>
                <w:color w:val="000000"/>
                <w:sz w:val="24"/>
                <w:szCs w:val="24"/>
              </w:rPr>
              <w:t xml:space="preserve"> России обращает внимание, что использование рабочих тетрадей на печатной основе в начальных классах 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>является неотъемлемой частью образовательного процесса и значительно влияет</w:t>
            </w:r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на эффективность обучения, поскольку выполнение обучающимися письменных работ формирует навык письма и развивает мелкую моторику.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D84763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84763">
              <w:rPr>
                <w:color w:val="000000"/>
                <w:sz w:val="24"/>
                <w:szCs w:val="24"/>
              </w:rPr>
              <w:t xml:space="preserve"> России отмечает, </w:t>
            </w:r>
            <w:r w:rsidRPr="00D84763">
              <w:rPr>
                <w:color w:val="000000"/>
                <w:sz w:val="24"/>
                <w:szCs w:val="24"/>
              </w:rPr>
              <w:lastRenderedPageBreak/>
              <w:t xml:space="preserve">что в целях более углубленного изучения учебного предмета 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учитель может рекомендовать учебные пособия, в том числе рабочие тетради, не включенные в список,        для домашнего самостоятельного использования. При этом такие пособия        не могут быть использованы в образовательном процессе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763">
              <w:rPr>
                <w:color w:val="000000"/>
                <w:sz w:val="24"/>
                <w:szCs w:val="24"/>
              </w:rPr>
              <w:t>Таким образом, обучающиеся, осваивающие имеющие государственную аккредитацию программы начального общего образования в государственных   и муниципальных образовательных организациях, обеспечиваются данными организациями рабочими тетрадями бесплатно за счет бюджетных средств.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763">
              <w:rPr>
                <w:color w:val="000000"/>
                <w:sz w:val="24"/>
                <w:szCs w:val="24"/>
              </w:rPr>
              <w:t xml:space="preserve">Обеспечение учебниками и учебными пособиями 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               по основным общеобразовательным программам является расходным обязательством субъекта Российской Федерации (пункт 3 части 1 статьи 8 Федерального закона № 273-ФЗ).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 xml:space="preserve">В областном бюджете ежегодно предусматриваются средства                  для обеспечения государственных гарантий реализации прав на </w:t>
            </w:r>
            <w:r w:rsidRPr="00D84763">
              <w:rPr>
                <w:color w:val="000000"/>
                <w:sz w:val="24"/>
                <w:szCs w:val="24"/>
              </w:rPr>
              <w:lastRenderedPageBreak/>
              <w:t>получение       (в том числе детьми-инвалидами) общедоступного и бесплатного начального общего, основного общего, среднего общего образования в муниципальных общеобразовательных организациях (далее – общее образование) посредством предоставления субвенций местным бюджетам муниципальных районов            и городских округов на обеспечение государственных гарантий реализации прав на общее образование в муниципальных общеобразовательных организациях, обеспечение дополнительного</w:t>
            </w:r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образования детей </w:t>
            </w:r>
            <w:r w:rsidR="00B13AA2">
              <w:rPr>
                <w:color w:val="000000"/>
                <w:sz w:val="24"/>
                <w:szCs w:val="24"/>
              </w:rPr>
              <w:t xml:space="preserve">в </w:t>
            </w:r>
            <w:r w:rsidRPr="00D84763">
              <w:rPr>
                <w:color w:val="000000"/>
                <w:sz w:val="24"/>
                <w:szCs w:val="24"/>
              </w:rPr>
              <w:t>муниципальных общеобразовательных организациях, в том числе расходы    на приобретение учебников и учебных пособий (далее – субвенции).</w:t>
            </w:r>
          </w:p>
          <w:p w:rsidR="00D84763" w:rsidRPr="00D84763" w:rsidRDefault="00D84763" w:rsidP="00D8476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763">
              <w:rPr>
                <w:color w:val="000000"/>
                <w:sz w:val="24"/>
                <w:szCs w:val="24"/>
              </w:rPr>
              <w:t xml:space="preserve">Субвенции на расходы, связанные с приобретением и учебных пособий, предоставляются из областного бюджета местным бюджетам с 2012 года по настоящее время. </w:t>
            </w:r>
            <w:proofErr w:type="gramStart"/>
            <w:r w:rsidRPr="00D84763">
              <w:rPr>
                <w:color w:val="000000"/>
                <w:sz w:val="24"/>
                <w:szCs w:val="24"/>
              </w:rPr>
              <w:t>Размер таких субвенций составил в 2012 году 160 млн. рублей, в 2013 – 161 млн. рублей, 2014 – 157 млн. рублей, в 2015 –157 млн. рублей, 2016  – 117 млн. рублей, 2017  – 120 млн. рублей, 2018 –164 млн. рублей, в 2019 –166 млн. рублей.</w:t>
            </w:r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В 2020 году такие финансовые средства областного бюджета запланированы в размере 338 млн. рублей. Таким образом, в 2020 году объем средств субвенции, </w:t>
            </w:r>
            <w:r w:rsidRPr="00D84763">
              <w:rPr>
                <w:color w:val="000000"/>
                <w:sz w:val="24"/>
                <w:szCs w:val="24"/>
              </w:rPr>
              <w:lastRenderedPageBreak/>
              <w:t xml:space="preserve">предусмотренный в областном бюджете местным бюджетам на указанные цели, увеличен по сравнению с 2019 годом более чем   в два раза. Анализ размеров таких финансовых средств (по годам) свидетельствует о достаточности средств областного бюджета, предоставляемых местным бюджетам в рамках субвенций на приобретение муниципальными </w:t>
            </w:r>
            <w:proofErr w:type="spellStart"/>
            <w:proofErr w:type="gramStart"/>
            <w:r w:rsidRPr="00D84763">
              <w:rPr>
                <w:color w:val="000000"/>
                <w:sz w:val="24"/>
                <w:szCs w:val="24"/>
              </w:rPr>
              <w:t>общеобразова</w:t>
            </w:r>
            <w:r w:rsidR="00B13AA2">
              <w:rPr>
                <w:color w:val="000000"/>
                <w:sz w:val="24"/>
                <w:szCs w:val="24"/>
              </w:rPr>
              <w:t>-</w:t>
            </w:r>
            <w:r w:rsidRPr="00D84763">
              <w:rPr>
                <w:color w:val="000000"/>
                <w:sz w:val="24"/>
                <w:szCs w:val="24"/>
              </w:rPr>
              <w:t>тельными</w:t>
            </w:r>
            <w:proofErr w:type="spellEnd"/>
            <w:proofErr w:type="gramEnd"/>
            <w:r w:rsidRPr="00D84763">
              <w:rPr>
                <w:color w:val="000000"/>
                <w:sz w:val="24"/>
                <w:szCs w:val="24"/>
              </w:rPr>
              <w:t xml:space="preserve"> организациями учебников и учебных пособий, в том числе рабочих тетрадей.</w:t>
            </w:r>
          </w:p>
          <w:p w:rsidR="001B3AA8" w:rsidRPr="009B4254" w:rsidRDefault="001B3AA8" w:rsidP="009255D9">
            <w:pPr>
              <w:widowControl w:val="0"/>
              <w:jc w:val="both"/>
            </w:pPr>
          </w:p>
        </w:tc>
        <w:tc>
          <w:tcPr>
            <w:tcW w:w="2268" w:type="dxa"/>
          </w:tcPr>
          <w:p w:rsidR="001B3AA8" w:rsidRPr="001B3AA8" w:rsidRDefault="001B3AA8" w:rsidP="009255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3AA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1B3AA8" w:rsidRDefault="001B3AA8" w:rsidP="009255D9">
            <w:pPr>
              <w:jc w:val="both"/>
            </w:pPr>
            <w:r>
              <w:t>Решили:</w:t>
            </w:r>
          </w:p>
          <w:p w:rsidR="00D84763" w:rsidRPr="0095296D" w:rsidRDefault="00D84763" w:rsidP="00D84763">
            <w:pPr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 xml:space="preserve">отклонить данный </w:t>
            </w:r>
            <w:r w:rsidRPr="00C43848">
              <w:rPr>
                <w:szCs w:val="28"/>
              </w:rPr>
              <w:t xml:space="preserve">проект </w:t>
            </w:r>
            <w:r w:rsidRPr="00FC033E">
              <w:rPr>
                <w:szCs w:val="28"/>
              </w:rPr>
              <w:t xml:space="preserve">областного </w:t>
            </w:r>
            <w:r w:rsidRPr="008061BA">
              <w:rPr>
                <w:szCs w:val="28"/>
              </w:rPr>
              <w:t>закона</w:t>
            </w:r>
            <w:r>
              <w:rPr>
                <w:szCs w:val="28"/>
              </w:rPr>
              <w:t>.</w:t>
            </w:r>
            <w:r w:rsidRPr="008061BA">
              <w:rPr>
                <w:szCs w:val="28"/>
              </w:rPr>
              <w:t xml:space="preserve"> </w:t>
            </w:r>
          </w:p>
        </w:tc>
      </w:tr>
    </w:tbl>
    <w:p w:rsidR="001B3AA8" w:rsidRDefault="001B3AA8" w:rsidP="001B3AA8"/>
    <w:p w:rsidR="001B3AA8" w:rsidRDefault="001B3AA8" w:rsidP="001B3AA8"/>
    <w:p w:rsidR="001B3AA8" w:rsidRDefault="001B3AA8" w:rsidP="001B3AA8"/>
    <w:p w:rsidR="001B3AA8" w:rsidRDefault="001B3AA8" w:rsidP="001B3AA8"/>
    <w:p w:rsidR="001B3AA8" w:rsidRDefault="001B3AA8" w:rsidP="001B3AA8"/>
    <w:p w:rsidR="00425563" w:rsidRDefault="00425563"/>
    <w:sectPr w:rsidR="00425563" w:rsidSect="00C52032">
      <w:headerReference w:type="even" r:id="rId4"/>
      <w:headerReference w:type="default" r:id="rId5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B13AA2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B13A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B13AA2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B13A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AA8"/>
    <w:rsid w:val="00006877"/>
    <w:rsid w:val="000075AB"/>
    <w:rsid w:val="00046286"/>
    <w:rsid w:val="00053FB0"/>
    <w:rsid w:val="00064D36"/>
    <w:rsid w:val="00103694"/>
    <w:rsid w:val="00154212"/>
    <w:rsid w:val="00156EAB"/>
    <w:rsid w:val="00174931"/>
    <w:rsid w:val="001B3AA8"/>
    <w:rsid w:val="001D388B"/>
    <w:rsid w:val="001F7EAB"/>
    <w:rsid w:val="0020498F"/>
    <w:rsid w:val="00226F18"/>
    <w:rsid w:val="002C5182"/>
    <w:rsid w:val="00344DDA"/>
    <w:rsid w:val="003763B0"/>
    <w:rsid w:val="003A4EA4"/>
    <w:rsid w:val="003D61CF"/>
    <w:rsid w:val="00425563"/>
    <w:rsid w:val="00427148"/>
    <w:rsid w:val="004429C7"/>
    <w:rsid w:val="004A7910"/>
    <w:rsid w:val="005210ED"/>
    <w:rsid w:val="005673F2"/>
    <w:rsid w:val="00594533"/>
    <w:rsid w:val="00595595"/>
    <w:rsid w:val="00611940"/>
    <w:rsid w:val="006604A7"/>
    <w:rsid w:val="0066375A"/>
    <w:rsid w:val="006775BB"/>
    <w:rsid w:val="006E6F99"/>
    <w:rsid w:val="00707019"/>
    <w:rsid w:val="007218C3"/>
    <w:rsid w:val="007243FD"/>
    <w:rsid w:val="0075305B"/>
    <w:rsid w:val="007545E1"/>
    <w:rsid w:val="007918C8"/>
    <w:rsid w:val="00827821"/>
    <w:rsid w:val="008C0D43"/>
    <w:rsid w:val="008F456A"/>
    <w:rsid w:val="00A26693"/>
    <w:rsid w:val="00A36FD2"/>
    <w:rsid w:val="00AD50D7"/>
    <w:rsid w:val="00B13AA2"/>
    <w:rsid w:val="00B15FF0"/>
    <w:rsid w:val="00B40228"/>
    <w:rsid w:val="00B77C0D"/>
    <w:rsid w:val="00B91A8B"/>
    <w:rsid w:val="00BC407A"/>
    <w:rsid w:val="00C04EF8"/>
    <w:rsid w:val="00C400EB"/>
    <w:rsid w:val="00C505E7"/>
    <w:rsid w:val="00CB3763"/>
    <w:rsid w:val="00D312E2"/>
    <w:rsid w:val="00D84763"/>
    <w:rsid w:val="00DA4DD1"/>
    <w:rsid w:val="00DA7586"/>
    <w:rsid w:val="00DC07F4"/>
    <w:rsid w:val="00DD5729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B3AA8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B3A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3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3AA8"/>
  </w:style>
  <w:style w:type="paragraph" w:styleId="2">
    <w:name w:val="Body Text 2"/>
    <w:basedOn w:val="a"/>
    <w:link w:val="20"/>
    <w:uiPriority w:val="99"/>
    <w:unhideWhenUsed/>
    <w:rsid w:val="001B3A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3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B3A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1B3A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B3AA8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1B3AA8"/>
    <w:pPr>
      <w:ind w:firstLine="709"/>
      <w:jc w:val="both"/>
    </w:pPr>
    <w:rPr>
      <w:sz w:val="28"/>
      <w:szCs w:val="20"/>
    </w:rPr>
  </w:style>
  <w:style w:type="paragraph" w:styleId="aa">
    <w:name w:val="Plain Text"/>
    <w:basedOn w:val="a"/>
    <w:link w:val="ab"/>
    <w:uiPriority w:val="99"/>
    <w:unhideWhenUsed/>
    <w:rsid w:val="001B3AA8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1B3AA8"/>
    <w:rPr>
      <w:rFonts w:ascii="Consolas" w:eastAsia="Calibri" w:hAnsi="Consolas" w:cs="Times New Roman"/>
      <w:sz w:val="21"/>
      <w:szCs w:val="21"/>
    </w:rPr>
  </w:style>
  <w:style w:type="paragraph" w:styleId="ac">
    <w:name w:val="No Spacing"/>
    <w:qFormat/>
    <w:rsid w:val="001B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B3AA8"/>
    <w:pPr>
      <w:ind w:left="720"/>
      <w:contextualSpacing/>
    </w:pPr>
  </w:style>
  <w:style w:type="paragraph" w:customStyle="1" w:styleId="Default">
    <w:name w:val="Default"/>
    <w:rsid w:val="001B3A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2020-10-27T10:41:00Z</dcterms:created>
  <dcterms:modified xsi:type="dcterms:W3CDTF">2020-10-27T10:59:00Z</dcterms:modified>
</cp:coreProperties>
</file>