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CE" w:rsidRDefault="00B631CE" w:rsidP="00B631C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631CE" w:rsidRPr="00D10BDD" w:rsidRDefault="00B631CE" w:rsidP="00B631C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B631CE" w:rsidRDefault="00B631CE" w:rsidP="00B631CE">
      <w:pPr>
        <w:pStyle w:val="a3"/>
        <w:ind w:firstLine="11700"/>
        <w:rPr>
          <w:b/>
          <w:sz w:val="24"/>
          <w:szCs w:val="24"/>
        </w:rPr>
      </w:pPr>
    </w:p>
    <w:p w:rsidR="00B631CE" w:rsidRPr="00D10BDD" w:rsidRDefault="008C1E5B" w:rsidP="00B631CE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«24</w:t>
      </w:r>
      <w:r w:rsidR="00B631CE" w:rsidRPr="00D10BDD">
        <w:rPr>
          <w:sz w:val="24"/>
          <w:szCs w:val="24"/>
        </w:rPr>
        <w:t xml:space="preserve">» </w:t>
      </w:r>
      <w:r w:rsidR="00B631CE">
        <w:rPr>
          <w:sz w:val="24"/>
          <w:szCs w:val="24"/>
        </w:rPr>
        <w:t>мая 2021</w:t>
      </w:r>
      <w:r w:rsidR="00B631CE" w:rsidRPr="00D10BDD">
        <w:rPr>
          <w:sz w:val="24"/>
          <w:szCs w:val="24"/>
        </w:rPr>
        <w:t xml:space="preserve"> года</w:t>
      </w:r>
    </w:p>
    <w:p w:rsidR="00B631CE" w:rsidRPr="00D10BDD" w:rsidRDefault="00B631CE" w:rsidP="00B631CE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8C1E5B"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 w:rsidR="008C1E5B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B631CE" w:rsidRDefault="00B631CE" w:rsidP="00B631CE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B631CE" w:rsidRDefault="00B631CE" w:rsidP="00B631C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B631CE" w:rsidRPr="00100F79" w:rsidRDefault="008C1E5B" w:rsidP="00B631C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B631CE" w:rsidRDefault="00B631CE" w:rsidP="00B631CE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B631CE" w:rsidTr="00173031">
        <w:tc>
          <w:tcPr>
            <w:tcW w:w="534" w:type="dxa"/>
            <w:vAlign w:val="center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B631CE" w:rsidRPr="005366CD" w:rsidRDefault="00B631CE" w:rsidP="0017303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B631CE" w:rsidRDefault="00B631CE" w:rsidP="0017303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B631CE" w:rsidRPr="007F1B93" w:rsidRDefault="00B631CE" w:rsidP="0017303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B631CE" w:rsidRDefault="00B631CE" w:rsidP="00173031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B631CE" w:rsidRPr="007F1B93" w:rsidRDefault="00B631CE" w:rsidP="00173031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B631CE" w:rsidRPr="005366CD" w:rsidRDefault="00B631CE" w:rsidP="0017303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631CE" w:rsidRPr="00B27A37" w:rsidTr="00173031">
        <w:tc>
          <w:tcPr>
            <w:tcW w:w="534" w:type="dxa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631CE" w:rsidRPr="005366CD" w:rsidRDefault="00B631CE" w:rsidP="0017303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B631CE" w:rsidRPr="00EE4528" w:rsidRDefault="00B631CE" w:rsidP="0017303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631CE" w:rsidRPr="005366CD" w:rsidRDefault="00B631CE" w:rsidP="0017303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B631CE" w:rsidRPr="005366CD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631CE" w:rsidRPr="00B27A37" w:rsidTr="00173031">
        <w:tc>
          <w:tcPr>
            <w:tcW w:w="534" w:type="dxa"/>
          </w:tcPr>
          <w:p w:rsidR="00B631CE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B631CE" w:rsidRPr="00E05158" w:rsidRDefault="00B631CE" w:rsidP="00173031">
            <w:pPr>
              <w:pStyle w:val="ad"/>
              <w:jc w:val="both"/>
            </w:pPr>
            <w:r>
              <w:t>Проект</w:t>
            </w:r>
            <w:r w:rsidRPr="00E05158">
              <w:t xml:space="preserve"> областного закона </w:t>
            </w:r>
            <w:r w:rsidRPr="00B631CE">
              <w:t>№ пз</w:t>
            </w:r>
            <w:proofErr w:type="gramStart"/>
            <w:r w:rsidRPr="00B631CE">
              <w:t>7</w:t>
            </w:r>
            <w:proofErr w:type="gramEnd"/>
            <w:r w:rsidRPr="00B631CE">
              <w:t>/580 «О внесении изменений в статью    9 областного закона «О наградах в Архангельской области»</w:t>
            </w:r>
            <w:r>
              <w:t>.</w:t>
            </w:r>
          </w:p>
          <w:p w:rsidR="00B631CE" w:rsidRPr="00A61175" w:rsidRDefault="00B631CE" w:rsidP="00173031">
            <w:pPr>
              <w:jc w:val="both"/>
            </w:pPr>
            <w:r w:rsidRPr="00E05158">
              <w:t xml:space="preserve"> </w:t>
            </w:r>
          </w:p>
        </w:tc>
        <w:tc>
          <w:tcPr>
            <w:tcW w:w="2836" w:type="dxa"/>
          </w:tcPr>
          <w:p w:rsidR="00B631CE" w:rsidRPr="00A61175" w:rsidRDefault="00B631CE" w:rsidP="00B631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1CE" w:rsidRDefault="00B631CE" w:rsidP="00B631CE">
            <w:pPr>
              <w:jc w:val="both"/>
              <w:rPr>
                <w:b/>
              </w:rPr>
            </w:pPr>
            <w:r>
              <w:rPr>
                <w:szCs w:val="28"/>
              </w:rPr>
              <w:t xml:space="preserve">Депутаты Архангельского областного Собрания </w:t>
            </w:r>
            <w:r w:rsidRPr="00B631CE">
              <w:t xml:space="preserve">депутатов </w:t>
            </w:r>
            <w:r>
              <w:t xml:space="preserve">Едемский С.А., </w:t>
            </w:r>
            <w:proofErr w:type="spellStart"/>
            <w:r>
              <w:t>Кувакин</w:t>
            </w:r>
            <w:proofErr w:type="spellEnd"/>
            <w:r w:rsidRPr="00B631CE">
              <w:t xml:space="preserve"> А.Е</w:t>
            </w:r>
            <w:r>
              <w:t>., Носарев</w:t>
            </w:r>
            <w:r w:rsidRPr="00B631CE">
              <w:t xml:space="preserve"> А.Н. </w:t>
            </w:r>
            <w:r>
              <w:t>и Седунова</w:t>
            </w:r>
            <w:r w:rsidRPr="00B631CE">
              <w:t xml:space="preserve"> Т.Н.</w:t>
            </w:r>
          </w:p>
          <w:p w:rsidR="00B631CE" w:rsidRPr="002B486B" w:rsidRDefault="00B631CE" w:rsidP="00B631CE">
            <w:pPr>
              <w:jc w:val="both"/>
            </w:pPr>
            <w:r w:rsidRPr="002B486B">
              <w:rPr>
                <w:b/>
              </w:rPr>
              <w:t xml:space="preserve">Докладчик: </w:t>
            </w:r>
            <w:r w:rsidRPr="00B631CE">
              <w:t xml:space="preserve">Носарев Александр Николаевич – депутат </w:t>
            </w:r>
            <w:r>
              <w:t>Архангел</w:t>
            </w:r>
            <w:r w:rsidRPr="00B631CE">
              <w:t>ьского областного Собрания депутатов</w:t>
            </w:r>
            <w:r w:rsidR="008C1E5B">
              <w:t>.</w:t>
            </w:r>
          </w:p>
          <w:p w:rsidR="00B631CE" w:rsidRPr="00A61175" w:rsidRDefault="00B631CE" w:rsidP="00173031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631CE" w:rsidRPr="00B631CE" w:rsidRDefault="00B631CE" w:rsidP="00B631CE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631CE">
              <w:rPr>
                <w:color w:val="000000"/>
                <w:sz w:val="24"/>
                <w:szCs w:val="24"/>
                <w:lang w:eastAsia="ru-RU" w:bidi="ru-RU"/>
              </w:rPr>
              <w:t>Проектом предлагается внести изменения в областной закон от 23 сентября 2008 года № 567-29-ОЗ «О наградах в Архангельской области», согласно которым знаком отличия «Материнская слава» награждаются женщины, которые не только достойно воспитывают, но и (или) воспитали определенное данным областным законом количество детей. Таким образом, при награждении женщин указанным знаком отличия учитываться будут как несовершеннолетние дети, так и дети, достигшие совершеннолетия.</w:t>
            </w:r>
          </w:p>
          <w:p w:rsidR="00B631CE" w:rsidRPr="00B631CE" w:rsidRDefault="00B631CE" w:rsidP="00B631CE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B631CE">
              <w:rPr>
                <w:color w:val="000000"/>
                <w:sz w:val="24"/>
                <w:szCs w:val="24"/>
                <w:lang w:eastAsia="ru-RU" w:bidi="ru-RU"/>
              </w:rPr>
              <w:t xml:space="preserve">Кроме того, Проектом предлагается знаком отличия «Материнская слава»   III степени дополнительно </w:t>
            </w:r>
            <w:r w:rsidRPr="00B631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награждать женщин, которые родили (усыновили (удочерили), приняли под опеку (попечительство) или в приемную семью)              и достойно воспитывают и (или) воспитали не только пятерых или шестерых,       но также и четверых детей.</w:t>
            </w:r>
          </w:p>
          <w:p w:rsidR="00B631CE" w:rsidRPr="00A61175" w:rsidRDefault="00B631CE" w:rsidP="00B631CE">
            <w:pPr>
              <w:jc w:val="both"/>
            </w:pPr>
          </w:p>
        </w:tc>
        <w:tc>
          <w:tcPr>
            <w:tcW w:w="2268" w:type="dxa"/>
          </w:tcPr>
          <w:p w:rsidR="00B631CE" w:rsidRPr="00A61175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 w:rsidRPr="00A61175">
              <w:t>Решили:</w:t>
            </w:r>
          </w:p>
          <w:p w:rsidR="00B631CE" w:rsidRPr="00A61175" w:rsidRDefault="00B631CE" w:rsidP="00173031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первом</w:t>
            </w:r>
            <w:proofErr w:type="gramEnd"/>
            <w:r w:rsidRPr="00C378B0">
              <w:rPr>
                <w:szCs w:val="28"/>
              </w:rPr>
              <w:t xml:space="preserve"> чтении.</w:t>
            </w:r>
          </w:p>
          <w:p w:rsidR="00B631CE" w:rsidRPr="00A61175" w:rsidRDefault="00B631CE" w:rsidP="00173031">
            <w:pPr>
              <w:pStyle w:val="2"/>
              <w:spacing w:after="0" w:line="240" w:lineRule="auto"/>
              <w:jc w:val="both"/>
            </w:pPr>
          </w:p>
          <w:p w:rsidR="00B631CE" w:rsidRPr="00A61175" w:rsidRDefault="00B631CE" w:rsidP="00173031">
            <w:pPr>
              <w:pStyle w:val="2"/>
              <w:spacing w:after="0" w:line="240" w:lineRule="auto"/>
              <w:jc w:val="both"/>
            </w:pPr>
          </w:p>
        </w:tc>
      </w:tr>
      <w:tr w:rsidR="00B631CE" w:rsidRPr="00B27A37" w:rsidTr="00173031">
        <w:tc>
          <w:tcPr>
            <w:tcW w:w="534" w:type="dxa"/>
          </w:tcPr>
          <w:p w:rsidR="00B631CE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B631CE" w:rsidRPr="002B486B" w:rsidRDefault="00B631CE" w:rsidP="00173031">
            <w:pPr>
              <w:pStyle w:val="ad"/>
              <w:jc w:val="both"/>
            </w:pPr>
            <w:r>
              <w:t>Проект</w:t>
            </w:r>
            <w:r w:rsidRPr="002B486B">
              <w:t xml:space="preserve"> областного закона № </w:t>
            </w:r>
            <w:r w:rsidR="00434488" w:rsidRPr="00226550">
              <w:rPr>
                <w:szCs w:val="28"/>
              </w:rPr>
              <w:t>пз</w:t>
            </w:r>
            <w:proofErr w:type="gramStart"/>
            <w:r w:rsidR="00434488" w:rsidRPr="00226550">
              <w:rPr>
                <w:szCs w:val="28"/>
              </w:rPr>
              <w:t>7</w:t>
            </w:r>
            <w:proofErr w:type="gramEnd"/>
            <w:r w:rsidR="00434488" w:rsidRPr="00226550">
              <w:rPr>
                <w:szCs w:val="28"/>
              </w:rPr>
              <w:t>/598 «О внес</w:t>
            </w:r>
            <w:r w:rsidR="00434488">
              <w:rPr>
                <w:szCs w:val="28"/>
              </w:rPr>
              <w:t xml:space="preserve">ении изменений   </w:t>
            </w:r>
            <w:r w:rsidR="00434488" w:rsidRPr="00226550">
              <w:rPr>
                <w:szCs w:val="28"/>
              </w:rPr>
              <w:t>в  областной закон «О наградах в Архангельской области»</w:t>
            </w:r>
            <w:r w:rsidR="00434488">
              <w:rPr>
                <w:szCs w:val="28"/>
              </w:rPr>
              <w:t>.</w:t>
            </w:r>
          </w:p>
          <w:p w:rsidR="00B631CE" w:rsidRPr="002B486B" w:rsidRDefault="00B631CE" w:rsidP="00173031">
            <w:pPr>
              <w:ind w:firstLine="651"/>
              <w:jc w:val="both"/>
            </w:pPr>
          </w:p>
        </w:tc>
        <w:tc>
          <w:tcPr>
            <w:tcW w:w="2836" w:type="dxa"/>
          </w:tcPr>
          <w:p w:rsidR="00B631CE" w:rsidRPr="00A61175" w:rsidRDefault="00B631CE" w:rsidP="0017303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1CE" w:rsidRDefault="00B631CE" w:rsidP="00173031">
            <w:pPr>
              <w:jc w:val="both"/>
              <w:rPr>
                <w:b/>
              </w:rPr>
            </w:pPr>
            <w:r>
              <w:rPr>
                <w:szCs w:val="28"/>
              </w:rPr>
              <w:t xml:space="preserve">Депутаты Архангельского областного Собрания депутатов </w:t>
            </w:r>
            <w:r w:rsidR="008C1E5B">
              <w:t>Едемский С.А., Носарев</w:t>
            </w:r>
            <w:r w:rsidR="008C1E5B" w:rsidRPr="00B631CE">
              <w:t xml:space="preserve"> А.Н. </w:t>
            </w:r>
            <w:r w:rsidR="008C1E5B">
              <w:t>и Седунова</w:t>
            </w:r>
            <w:r w:rsidR="008C1E5B" w:rsidRPr="00B631CE">
              <w:t xml:space="preserve"> Т.Н.</w:t>
            </w:r>
          </w:p>
          <w:p w:rsidR="00B631CE" w:rsidRPr="002B486B" w:rsidRDefault="00B631CE" w:rsidP="00173031">
            <w:pPr>
              <w:jc w:val="both"/>
            </w:pPr>
            <w:r w:rsidRPr="002B486B">
              <w:rPr>
                <w:b/>
              </w:rPr>
              <w:t xml:space="preserve">Докладчик: </w:t>
            </w:r>
            <w:r w:rsidR="00434488" w:rsidRPr="00B631CE">
              <w:t xml:space="preserve">Носарев Александр Николаевич – депутат </w:t>
            </w:r>
            <w:r w:rsidR="00434488">
              <w:t>Архангел</w:t>
            </w:r>
            <w:r w:rsidR="00434488" w:rsidRPr="00B631CE">
              <w:t>ьского областного Собрания депутатов</w:t>
            </w:r>
            <w:r w:rsidR="00434488">
              <w:t>.</w:t>
            </w:r>
          </w:p>
          <w:p w:rsidR="00B631CE" w:rsidRPr="002B486B" w:rsidRDefault="00B631CE" w:rsidP="00173031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C1E5B" w:rsidRPr="008C1E5B" w:rsidRDefault="00321263" w:rsidP="00321263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Проектом предлагается внести изменения в областной закон                      от 23 сентября 2008 года № 567-29-ОЗ «О наградах в Архангельской области» (далее – областной закон от 23 сентября 2008 года № 567-29-ОЗ) в части введения положений о награде Архангельской области – знак отличия «Отцовская доблесть».</w:t>
            </w:r>
          </w:p>
          <w:p w:rsidR="008C1E5B" w:rsidRPr="008C1E5B" w:rsidRDefault="00321263" w:rsidP="00321263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Согласно положениям Проекта областной закон вступает в силу                  с 1 января 2022 года.</w:t>
            </w:r>
          </w:p>
          <w:p w:rsidR="008C1E5B" w:rsidRPr="008C1E5B" w:rsidRDefault="00321263" w:rsidP="00321263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Проектом предусматривается необходимость изготовления знака отличия «Отцовская доблесть» и удостоверения к нему, выплата единовременного денежного вознаграждения в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размере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50000 рублей.</w:t>
            </w:r>
          </w:p>
          <w:p w:rsidR="008C1E5B" w:rsidRPr="008C1E5B" w:rsidRDefault="00321263" w:rsidP="00321263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В финансово-экономическом обосновании к Проекту указано,                что поскольку количество награждаемых определяется министерством труда, занятости и социального развития Архангельской области исходя из объема средств областного бюджета, предусмотренных на выплату единовременного денежного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вознаграждения областным законом об областном бюджете (пункт 7 положения о знаке отличия «Материнская слава», утвержденного указом Губернатора Архангельской области от 10 августа 2009 года № 19-у), дополнительных средств на выплату вознаграждения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не потребуется.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Вместе с тем, в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перечне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областных законов и иных нормативных правовых актов Архангельской области, отмены или изменения которых потребует принятие Проекта, указана информация, что в случае принятия Проекта потребуется издание указа Губернатора Архангельской области,              в соответствии с которым будет утверждено положение о знаке отличия «Отцовская доблесть».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В этой связи на реализацию Проекта потребуются дополнительные финансовые затраты.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К Проекту имеется замечание правового управления аппарата Архангельского областного Собрания депутатов. А именно: 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Согласно статье 83 Бюджетного кодекса Российской Федерации, если принимается закон либо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видов расходных обязательств, которые до его принятия не исполнялись ни одним </w:t>
            </w:r>
            <w:proofErr w:type="spell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публично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правовым</w:t>
            </w:r>
            <w:proofErr w:type="spell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случае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необходимости порядок передачи финансовых ресурсов на новые виды расходных обязательств               в соответствующие бюджеты бюджетной системы Российской Федерации.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Выделение бюджетных ассигнований на принятие новых видов расходных обязательств или увеличение бюджетных ассигнований                   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         о бюджете либо в текущем финансовом году после внесения соответствующих изменений в закон (решение) о бюджете при наличии соответствующих источников дополнительных поступлений в бюджет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и (или) при сокращении бюджетных ассигнований по отдельным статьям расходов бюджета.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На основании изложенного правовое управление аппарата Архангельского областного Собрания депутатов считает, что принятие Проекта должно осуществляться с учетом положений статьи 83 Бюджетного кодекса Российской Федерации.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C1E5B" w:rsidRPr="008C1E5B">
              <w:rPr>
                <w:sz w:val="24"/>
                <w:szCs w:val="24"/>
              </w:rPr>
              <w:t>По мнению Собрания депутатов муниципального образования «</w:t>
            </w:r>
            <w:proofErr w:type="spellStart"/>
            <w:r w:rsidR="008C1E5B" w:rsidRPr="008C1E5B">
              <w:rPr>
                <w:sz w:val="24"/>
                <w:szCs w:val="24"/>
              </w:rPr>
              <w:t>Вилегодский</w:t>
            </w:r>
            <w:proofErr w:type="spellEnd"/>
            <w:r w:rsidR="008C1E5B" w:rsidRPr="008C1E5B">
              <w:rPr>
                <w:sz w:val="24"/>
                <w:szCs w:val="24"/>
              </w:rPr>
              <w:t xml:space="preserve"> муниципальный округ» Архангельской области</w:t>
            </w:r>
            <w:r w:rsidR="008C1E5B" w:rsidRPr="008C1E5B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недопустимо размыты в данном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Проекте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основания для награждения знаком отличия. Так, термин «Достойно воспитывает и (или) воспитал»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имеет лишь эмоциональную оценку и не предполагает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привязки к действующему законодательству о семье и семейных обязанностях.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Теоретически к данной награде могут быть представлены лица –  биологические отцы, имеющие или имевшие судимости или подвергавшиеся уголовному преследованию, в том числе и за преступления против семьи            и несовершеннолетних, привлекавшиеся к административной ответственности за неисполнение либо ненадлежащее исполнение обязанностей по</w:t>
            </w:r>
            <w:r w:rsidR="008C1E5B" w:rsidRPr="008C1E5B">
              <w:rPr>
                <w:sz w:val="24"/>
                <w:szCs w:val="24"/>
              </w:rPr>
              <w:t xml:space="preserve"> </w:t>
            </w:r>
            <w:r w:rsidR="008C1E5B" w:rsidRPr="008C1E5B">
              <w:rPr>
                <w:rStyle w:val="a8"/>
                <w:sz w:val="24"/>
                <w:szCs w:val="24"/>
              </w:rPr>
              <w:t>воспитанию и содержанию детей, либо внёсшие минимальный вклад в содержание своих детей.</w:t>
            </w:r>
            <w:proofErr w:type="gramEnd"/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Законопроектом не учтены как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особенные ситуации, при которых могут быть награждены отцы, в одиночку воспитывающие (воспитавшие) детей.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Согласно заключению прокуратуры Архангельской области использование в данном </w:t>
            </w:r>
            <w:proofErr w:type="gramStart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Проекте</w:t>
            </w:r>
            <w:proofErr w:type="gramEnd"/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 xml:space="preserve"> термина «отец» является некорректным, поскольку лицо, принявшее детей под опеку (попечительство) или в приемную семью, юридически отцом для них не является.</w:t>
            </w:r>
          </w:p>
          <w:p w:rsidR="008C1E5B" w:rsidRPr="008C1E5B" w:rsidRDefault="00434488" w:rsidP="0043448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8C1E5B" w:rsidRPr="008C1E5B">
              <w:rPr>
                <w:color w:val="000000"/>
                <w:sz w:val="24"/>
                <w:szCs w:val="24"/>
                <w:lang w:eastAsia="ru-RU" w:bidi="ru-RU"/>
              </w:rPr>
              <w:t>На заседании комитета было озвучено отрицательное заключение Губернатора Архангельской области, согласно которому: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 xml:space="preserve">1. Предлагаемое законопроектом регулирование не соответствует концепции областного закона от 23 сентября 2008 года № 567-29-ОЗ </w:t>
            </w:r>
            <w:r w:rsidR="008C1E5B" w:rsidRPr="008C1E5B">
              <w:br/>
              <w:t xml:space="preserve">«О наградах в Архангельской области» (далее – областной закон </w:t>
            </w:r>
            <w:r w:rsidR="008C1E5B" w:rsidRPr="008C1E5B">
              <w:br/>
              <w:t>№ 567-29-ОЗ), так как наличие в системе высших государственных наград Архангельской области знака отличия «Материнская слава» не предполагает формальное учреждение аналогичного знака отличия для мужчин. Указанные знаки отличия не могут иметь одинаковые критерии и цели получения.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 xml:space="preserve">В основу концепции законопроекта положен </w:t>
            </w:r>
            <w:proofErr w:type="spellStart"/>
            <w:r w:rsidR="008C1E5B" w:rsidRPr="008C1E5B">
              <w:t>гендерный</w:t>
            </w:r>
            <w:proofErr w:type="spellEnd"/>
            <w:r w:rsidR="008C1E5B" w:rsidRPr="008C1E5B">
              <w:t xml:space="preserve"> принцип           при определении получателей соответствующего знака отличия. </w:t>
            </w:r>
            <w:r w:rsidR="008C1E5B" w:rsidRPr="008C1E5B">
              <w:br/>
            </w:r>
            <w:r w:rsidR="008C1E5B" w:rsidRPr="008C1E5B">
              <w:lastRenderedPageBreak/>
              <w:t xml:space="preserve">Это предполагает формально равные права мужчины и женщины </w:t>
            </w:r>
            <w:r w:rsidR="008C1E5B" w:rsidRPr="008C1E5B">
              <w:br/>
              <w:t xml:space="preserve">на получение одинаковой по своей природе награды. При учреждении знака отличия «Материнская слава» </w:t>
            </w:r>
            <w:proofErr w:type="spellStart"/>
            <w:r w:rsidR="008C1E5B" w:rsidRPr="008C1E5B">
              <w:t>гендерные</w:t>
            </w:r>
            <w:proofErr w:type="spellEnd"/>
            <w:r w:rsidR="008C1E5B" w:rsidRPr="008C1E5B">
              <w:t xml:space="preserve"> мотивы не являлись первичными, </w:t>
            </w:r>
            <w:proofErr w:type="gramStart"/>
            <w:r w:rsidR="008C1E5B" w:rsidRPr="008C1E5B">
              <w:t>использовался</w:t>
            </w:r>
            <w:proofErr w:type="gramEnd"/>
            <w:r w:rsidR="008C1E5B" w:rsidRPr="008C1E5B">
              <w:t xml:space="preserve"> прежде всего принцип взаимосвязи между матерью </w:t>
            </w:r>
            <w:r w:rsidR="008C1E5B" w:rsidRPr="008C1E5B">
              <w:br/>
              <w:t xml:space="preserve">и ребенком, основанный на биологической и психологической связи между ними (обусловленной природными особенностями беременности женщины). 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 xml:space="preserve">В случае введения знака отличия «Отцовская доблесть» возникнет ситуация, когда одна и та же многодетная семья будет претендовать                 на получение двух наград Архангельской области за достойное воспитание детей, что противоречит принципам государственной наградной политики Архангельской области. </w:t>
            </w:r>
          </w:p>
          <w:p w:rsidR="008C1E5B" w:rsidRPr="008C1E5B" w:rsidRDefault="00434488" w:rsidP="0043448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8C1E5B" w:rsidRPr="008C1E5B">
              <w:t xml:space="preserve">2. В настоящее время возможность поощрения отцов за заслуги в сфере укрепления института семьи и достойного воспитания детей уже гарантирована, не допуская при этом конкуренции наград. 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 xml:space="preserve">Постановлением министерства труда, занятости и социального развития Архангельской области от 19 сентября 2013 года № 11-п утверждено Положение об организации и проведении областного конкурса </w:t>
            </w:r>
            <w:r w:rsidR="008C1E5B" w:rsidRPr="008C1E5B">
              <w:br/>
            </w:r>
            <w:r w:rsidR="008C1E5B" w:rsidRPr="008C1E5B">
              <w:lastRenderedPageBreak/>
              <w:t>«Отец – ответственная должность» (далее соответственно – Положение, конкурс).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>Целями проведения конкурса являются поднятие престижа отцовства, укрепление статуса отца и мужчины в семье и обществе, пропаганда примеров достойного отцовства, повышение роли отца в воспитании подрастающего поколения, развитие и распространение семейных ценностей, укрепление семейных и семейно-родственных связей поколений.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>3. Предлагаемые автором законопроекта изменения не обеспечены необходимыми источниками финансирования за счет средств областного бюджета (пункты 1 и 2 статьи 83 Бюджетного кодекса Российской Федерации    и статья 2 областного закона № 62-8-ОЗ).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r w:rsidR="008C1E5B" w:rsidRPr="008C1E5B">
              <w:t xml:space="preserve">Источником финансирования положений законопроекта предлагается определить бюджетные средства в </w:t>
            </w:r>
            <w:proofErr w:type="gramStart"/>
            <w:r w:rsidR="008C1E5B" w:rsidRPr="008C1E5B">
              <w:t>пределах</w:t>
            </w:r>
            <w:proofErr w:type="gramEnd"/>
            <w:r w:rsidR="008C1E5B" w:rsidRPr="008C1E5B">
              <w:t xml:space="preserve"> ассигнований, выделенных министерству труда, занятости и социального развития Архангельской области на реализацию государственной программы Архангельской области «Социальная поддержка граждан в Архангельской области», утвержденной постановлением Правительства Архангельской области от 12 октября 2012 года № </w:t>
            </w:r>
            <w:r w:rsidR="008C1E5B" w:rsidRPr="008C1E5B">
              <w:lastRenderedPageBreak/>
              <w:t>464-пп, экономия которых в 2021 году отсутствует.</w:t>
            </w:r>
          </w:p>
          <w:p w:rsidR="008C1E5B" w:rsidRPr="008C1E5B" w:rsidRDefault="00434488" w:rsidP="00434488">
            <w:pPr>
              <w:widowControl w:val="0"/>
              <w:jc w:val="both"/>
            </w:pPr>
            <w:r>
              <w:t xml:space="preserve">   </w:t>
            </w:r>
            <w:proofErr w:type="gramStart"/>
            <w:r w:rsidR="008C1E5B" w:rsidRPr="008C1E5B">
              <w:t xml:space="preserve">Из финансово-экономического обоснования законопроекта следует, </w:t>
            </w:r>
            <w:r w:rsidR="008C1E5B" w:rsidRPr="008C1E5B">
              <w:br/>
              <w:t xml:space="preserve">что реализация его положений потребует незначительные дополнительные средства областного бюджета, при этом в нем не учтено, что все высшие награды Архангельской области изготавливаются на Московском Монетном Дворе </w:t>
            </w:r>
            <w:proofErr w:type="spellStart"/>
            <w:r w:rsidR="008C1E5B" w:rsidRPr="008C1E5B">
              <w:t>Гознака</w:t>
            </w:r>
            <w:proofErr w:type="spellEnd"/>
            <w:r w:rsidR="008C1E5B" w:rsidRPr="008C1E5B">
              <w:t xml:space="preserve"> из сплава драгоценных металлов, имеют очень высокое качество и защиту от подделки, </w:t>
            </w:r>
            <w:r>
              <w:t xml:space="preserve">а также дополнительные расходы </w:t>
            </w:r>
            <w:r w:rsidR="008C1E5B" w:rsidRPr="008C1E5B">
              <w:t>на разработку художественного эскиза знака «Отцовская доблесть», изготовление образца такого знака</w:t>
            </w:r>
            <w:proofErr w:type="gramEnd"/>
            <w:r w:rsidR="008C1E5B" w:rsidRPr="008C1E5B">
              <w:t xml:space="preserve"> отличия из драгоценного металла, </w:t>
            </w:r>
            <w:proofErr w:type="spellStart"/>
            <w:proofErr w:type="gramStart"/>
            <w:r w:rsidR="008C1E5B" w:rsidRPr="008C1E5B">
              <w:t>удостовере</w:t>
            </w:r>
            <w:r>
              <w:t>-</w:t>
            </w:r>
            <w:r w:rsidR="008C1E5B" w:rsidRPr="008C1E5B">
              <w:t>ний</w:t>
            </w:r>
            <w:proofErr w:type="spellEnd"/>
            <w:proofErr w:type="gramEnd"/>
            <w:r w:rsidR="008C1E5B" w:rsidRPr="008C1E5B">
              <w:t xml:space="preserve"> к такому знаку отличия, футляра, тиража знаков.</w:t>
            </w:r>
          </w:p>
          <w:p w:rsidR="00B631CE" w:rsidRPr="00926AFF" w:rsidRDefault="00B631CE" w:rsidP="00173031">
            <w:pPr>
              <w:autoSpaceDE w:val="0"/>
              <w:autoSpaceDN w:val="0"/>
              <w:adjustRightInd w:val="0"/>
              <w:jc w:val="both"/>
            </w:pPr>
            <w:r w:rsidRPr="008C1E5B">
              <w:t xml:space="preserve">   </w:t>
            </w:r>
          </w:p>
        </w:tc>
        <w:tc>
          <w:tcPr>
            <w:tcW w:w="2268" w:type="dxa"/>
          </w:tcPr>
          <w:p w:rsidR="00B631CE" w:rsidRPr="009875C5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631CE" w:rsidRDefault="00B631CE" w:rsidP="00173031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B631CE" w:rsidRPr="00846B84" w:rsidRDefault="00B631CE" w:rsidP="00173031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</w:t>
            </w:r>
            <w:r>
              <w:rPr>
                <w:szCs w:val="28"/>
              </w:rPr>
              <w:t>тного Собрания депутатов отклонить</w:t>
            </w:r>
            <w:r w:rsidRPr="00846B84">
              <w:rPr>
                <w:szCs w:val="28"/>
              </w:rPr>
              <w:t xml:space="preserve"> д</w:t>
            </w:r>
            <w:r>
              <w:rPr>
                <w:szCs w:val="28"/>
              </w:rPr>
              <w:t>анный проект областного  закона.</w:t>
            </w:r>
          </w:p>
          <w:p w:rsidR="00B631CE" w:rsidRPr="009875C5" w:rsidRDefault="00B631CE" w:rsidP="00173031">
            <w:pPr>
              <w:pStyle w:val="a9"/>
              <w:jc w:val="both"/>
            </w:pPr>
          </w:p>
        </w:tc>
      </w:tr>
      <w:tr w:rsidR="00B631CE" w:rsidRPr="00B27A37" w:rsidTr="00173031">
        <w:tc>
          <w:tcPr>
            <w:tcW w:w="534" w:type="dxa"/>
          </w:tcPr>
          <w:p w:rsidR="00B631CE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B631CE" w:rsidRPr="002B486B" w:rsidRDefault="00B631CE" w:rsidP="00173031">
            <w:pPr>
              <w:pStyle w:val="ad"/>
              <w:jc w:val="both"/>
            </w:pPr>
            <w:r>
              <w:t>Проект</w:t>
            </w:r>
            <w:r w:rsidRPr="002B486B">
              <w:t xml:space="preserve"> областного закона № </w:t>
            </w:r>
            <w:r w:rsidR="00434488">
              <w:rPr>
                <w:szCs w:val="28"/>
              </w:rPr>
              <w:t>пз</w:t>
            </w:r>
            <w:proofErr w:type="gramStart"/>
            <w:r w:rsidR="00434488">
              <w:rPr>
                <w:szCs w:val="28"/>
              </w:rPr>
              <w:t>7</w:t>
            </w:r>
            <w:proofErr w:type="gramEnd"/>
            <w:r w:rsidR="00434488">
              <w:rPr>
                <w:szCs w:val="28"/>
              </w:rPr>
              <w:t>/604</w:t>
            </w:r>
            <w:r w:rsidR="00434488" w:rsidRPr="00226550">
              <w:rPr>
                <w:szCs w:val="28"/>
              </w:rPr>
              <w:t xml:space="preserve"> «О внес</w:t>
            </w:r>
            <w:r w:rsidR="00434488">
              <w:rPr>
                <w:szCs w:val="28"/>
              </w:rPr>
              <w:t xml:space="preserve">ении изменений  </w:t>
            </w:r>
            <w:r w:rsidR="00434488" w:rsidRPr="00226550">
              <w:rPr>
                <w:szCs w:val="28"/>
              </w:rPr>
              <w:t>в  областной закон «О наградах в Архангельской области»</w:t>
            </w:r>
          </w:p>
          <w:p w:rsidR="00B631CE" w:rsidRPr="002B486B" w:rsidRDefault="00B631CE" w:rsidP="00173031">
            <w:pPr>
              <w:ind w:firstLine="651"/>
              <w:jc w:val="both"/>
            </w:pPr>
          </w:p>
        </w:tc>
        <w:tc>
          <w:tcPr>
            <w:tcW w:w="2836" w:type="dxa"/>
          </w:tcPr>
          <w:p w:rsidR="008C1E5B" w:rsidRPr="00A61175" w:rsidRDefault="008C1E5B" w:rsidP="008C1E5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5B" w:rsidRDefault="008C1E5B" w:rsidP="008C1E5B">
            <w:pPr>
              <w:jc w:val="both"/>
              <w:rPr>
                <w:b/>
              </w:rPr>
            </w:pPr>
            <w:r>
              <w:rPr>
                <w:szCs w:val="28"/>
              </w:rPr>
              <w:t xml:space="preserve">Депутаты Архангельского областного Собрания депутатов </w:t>
            </w:r>
            <w:r>
              <w:t>Едемский С.А., Носарев</w:t>
            </w:r>
            <w:r w:rsidRPr="00B631CE">
              <w:t xml:space="preserve"> А.Н. </w:t>
            </w:r>
            <w:r>
              <w:t>и Седунова</w:t>
            </w:r>
            <w:r w:rsidRPr="00B631CE">
              <w:t xml:space="preserve"> Т.Н.</w:t>
            </w:r>
          </w:p>
          <w:p w:rsidR="008C1E5B" w:rsidRPr="002B486B" w:rsidRDefault="008C1E5B" w:rsidP="008C1E5B">
            <w:pPr>
              <w:jc w:val="both"/>
            </w:pPr>
            <w:r w:rsidRPr="002B486B">
              <w:rPr>
                <w:b/>
              </w:rPr>
              <w:t xml:space="preserve">Докладчик: </w:t>
            </w:r>
            <w:r w:rsidR="00434488" w:rsidRPr="00B631CE">
              <w:t xml:space="preserve">Носарев Александр Николаевич – депутат </w:t>
            </w:r>
            <w:r w:rsidR="00434488">
              <w:t>Архангел</w:t>
            </w:r>
            <w:r w:rsidR="00434488" w:rsidRPr="00B631CE">
              <w:t>ьского областного Собрания депутатов</w:t>
            </w:r>
            <w:r w:rsidR="00434488">
              <w:t>.</w:t>
            </w:r>
          </w:p>
          <w:p w:rsidR="00B631CE" w:rsidRPr="002B486B" w:rsidRDefault="00B631CE" w:rsidP="008C1E5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Проектом предлагается установить новую награду Архангельской области – памятный знак «За супружеское долголетие», которой в целях обеспечения общественного признания, глубокой благодарности и высокого уважения будут награждаться семейные пары за заслуги в укреплении института семьи.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При этом Проектом предусматривается, что памятный знак                    «За супруже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ское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долголетие» будет вручаться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семейным парам, отметившим 50-летний, 60-летний, 70-летний юбилей супружеской жизни после 1 января 2021 года.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Правовое управления аппарата Архангельского областного Собрания депутатов  считает, что Проект не содержит требований к наличию у семейных пар указанных в статье 1 Устава Архангельской области, статье 3 областного закона от 23 сентября 2008 года № 567-29-ОЗ заслуг, достижений в развитии Архангельской области, иных критериев оценки личного вклада граждан            в развитие региона, в том числе в части укрепления института семьи.</w:t>
            </w:r>
            <w:proofErr w:type="gramEnd"/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В настоящее время государственной программой Архангельской области «Социальная поддержка граждан в Архангельской области», утвержденной постановлением Правительства Архангельской области от 12 октября 2012 года № 464-пп, Положением о порядке и условиях проведения областного конкурса «Лучшая семья Архангельской области», утвержденным постановлением министерства труда, занятости и социального развития Архангельской области от 26 февраля 2014 года № 8-п, предусмотрено проведение ежегодного областного конкурса «Лучшая семья Архангельской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области».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Проектом предусматривается необходимость изготовления памятных знаков «За супружеское долголетие» </w:t>
            </w:r>
            <w:r w:rsidRPr="00434488">
              <w:rPr>
                <w:color w:val="000000"/>
                <w:sz w:val="24"/>
                <w:szCs w:val="24"/>
                <w:lang w:bidi="en-US"/>
              </w:rPr>
              <w:t>(</w:t>
            </w:r>
            <w:r w:rsidRPr="00434488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434488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II, III степени) и удостоверений к ним, выплата единовременных денежных вознаграждений.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В финансово-экономическом обосновании к Проекту указан расчет расходов на реализацию Проекта: в части осуществления </w:t>
            </w:r>
            <w:proofErr w:type="spell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единовремен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денежных вознаграждений в 2021 году потребуется 1080000 рублей,                 на изготовление памятных знаков «За супружеское долголетие» и удостоверений к ним в 2021 году потребуется 9600 рублей, общий объем расходов областного бюджета на реализацию Проекта в 2021 году составит 1089600 рублей, в 2022 и 2023 годах на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реализацию Проекта потребуется сопоставимый объем средств – в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пределах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1100000 – 1500000 рублей ежегодно. Источником финансирования предлагается определить бюджетные средства         в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пределах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ассигнований, выделенных министерству труда, занятости                 и социального развития Архангельской области на реализацию государственной программы Архангельской области «Социальная поддержка граждан в Архангельской области», по которой ежегодно складывается экономия бюджетных средств.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Правовое управления аппарата Архангельского областного Собрания депутатов, прокуратура Архангельской области и </w:t>
            </w:r>
            <w:r w:rsidRPr="00434488">
              <w:rPr>
                <w:sz w:val="24"/>
                <w:szCs w:val="24"/>
              </w:rPr>
              <w:t xml:space="preserve">Управления Министерства юстиции Российской Федерации по Архангельской области и Ненецкому автономному округу в своих заключениях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обращают внимание на то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что согласно статье 83 Бюджетного кодекса Российской Федерации, если принимается закон либо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              в соответствующие бюджеты бюджетной системы Российской Федерации.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Выделение бюджетных ассигнований на принятие новых видов расходных обязательств или ув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еличение бюджетных ассигнований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на исполнение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         о бюджете либо в текущем финансовом году после внесения соответствующих изменений в закон (решение) о бюджете при наличии соответствующих источников дополнительных поступлений в бюджет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и (или) при сокращении бюджетных ассигнований по отдельным статьям расходов бюджета.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В связи с чем, принятие Проекта должно осуществляться с учетом положений статьи 83 Бюджетного кодекса Российской Федерации.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На заседании комитета было озвучено отрицательное заключение Губернатора Архангельской области </w:t>
            </w:r>
            <w:proofErr w:type="spell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Цыбульского</w:t>
            </w:r>
            <w:proofErr w:type="spell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А.В. на Проект. Согласно данному заключению: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1. Предлагаемое Проектом регулирование не соответствует концепции областного закона от 23 сентября 2008 года № 567-29-ОЗ «О наградах                 в Архангельской области» (далее – областной закон № 567-29-ОЗ).</w:t>
            </w:r>
            <w:r w:rsidRPr="00434488">
              <w:rPr>
                <w:sz w:val="24"/>
                <w:szCs w:val="24"/>
              </w:rPr>
              <w:t xml:space="preserve">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Факт нахождения супругов в </w:t>
            </w:r>
            <w:proofErr w:type="gram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браке</w:t>
            </w:r>
            <w:proofErr w:type="gram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более 50-ти лет непосредственно не связан             с достижениями в социально-экономическом и культурном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развитии Архангельской области, либо с достижениями в государственной                        и общественной деятельности, признанными как обществом,                             так и Архангельской областью, и в силу этого не может рассматриваться             в качестве основания для награждения наградами Архангельской области.</w:t>
            </w:r>
          </w:p>
          <w:p w:rsidR="00434488" w:rsidRPr="00434488" w:rsidRDefault="00434488" w:rsidP="00434488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proofErr w:type="gramStart"/>
            <w:r w:rsidRPr="00434488">
              <w:rPr>
                <w:lang w:bidi="ru-RU"/>
              </w:rPr>
              <w:t xml:space="preserve">Положением о медали «За любовь и верность», утвержденным протоколом Организационного комитета по проведению «Дня семьи, любви      и верности в Российской Федерации» от 24 марта 2011 года </w:t>
            </w:r>
            <w:r>
              <w:rPr>
                <w:lang w:bidi="ru-RU"/>
              </w:rPr>
              <w:t xml:space="preserve">   </w:t>
            </w:r>
            <w:r w:rsidRPr="00434488">
              <w:rPr>
                <w:lang w:bidi="ru-RU"/>
              </w:rPr>
              <w:t>№ 1, предусмотрено награждение граждан Российской Федерации и граждан иностранных государств – супругов, зарегистрировавших заключение брака      не менее 25-ти лет назад, получивших известность среди сограждан крепостью семейных устоев, основанных на взаимной любви и верности, а также</w:t>
            </w:r>
            <w:proofErr w:type="gramEnd"/>
            <w:r w:rsidRPr="00434488">
              <w:rPr>
                <w:lang w:bidi="ru-RU"/>
              </w:rPr>
              <w:t xml:space="preserve"> </w:t>
            </w:r>
            <w:proofErr w:type="gramStart"/>
            <w:r w:rsidRPr="00434488">
              <w:rPr>
                <w:lang w:bidi="ru-RU"/>
              </w:rPr>
              <w:t>добившихся</w:t>
            </w:r>
            <w:proofErr w:type="gramEnd"/>
            <w:r w:rsidRPr="00434488">
              <w:rPr>
                <w:lang w:bidi="ru-RU"/>
              </w:rPr>
              <w:t xml:space="preserve"> благополучия, обеспеченного совместным трудом.</w:t>
            </w:r>
          </w:p>
          <w:p w:rsidR="00434488" w:rsidRPr="00434488" w:rsidRDefault="00434488" w:rsidP="00434488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434488">
              <w:rPr>
                <w:lang w:bidi="ru-RU"/>
              </w:rPr>
              <w:t xml:space="preserve">2. Правовые, социальные и иные предпосылки для изменения действующего подхода в наградном </w:t>
            </w:r>
            <w:proofErr w:type="gramStart"/>
            <w:r w:rsidRPr="00434488">
              <w:rPr>
                <w:lang w:bidi="ru-RU"/>
              </w:rPr>
              <w:t>законодательстве</w:t>
            </w:r>
            <w:proofErr w:type="gramEnd"/>
            <w:r w:rsidRPr="00434488">
              <w:rPr>
                <w:lang w:bidi="ru-RU"/>
              </w:rPr>
              <w:t xml:space="preserve"> Архангельской области отсутствуют.</w:t>
            </w:r>
          </w:p>
          <w:p w:rsidR="00434488" w:rsidRPr="00434488" w:rsidRDefault="00434488" w:rsidP="00434488">
            <w:pPr>
              <w:pStyle w:val="1"/>
              <w:tabs>
                <w:tab w:val="left" w:pos="3797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В пояснительной записке к законопроекту отсутствуют достаточная аргументация необходимости учреждения нового вида награды Архангельской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области, актуальность такой награды для Архангельской области. Это               не соответствует требованиям статьи 2 областного закона от 19 сентября      2001 года   № 62-8-ОЗ «О порядке разработки, принятия и вступления в силу законов Архангельской области».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Автоматическое заимствование положений законов и иных нормативных правовых актов других субъектов Российской Федерации, приведенных              в пояснительной записке к законопроекту, не учитывает особенности областного закона № 567-29-ОЗ и учрежденную им систему наград Архангельской области. При этом приведенный в пояснительной записке           к законопроекту правотворческий опыт субъектов Российской Федерации свидетельствует о разнообразии подходов, превалирующим из которых является предоставление единовременных денежных выплат в качестве мер социальной поддержки.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3. Авторами Проекта не учтено, что все высшие награды Архангельской области, отраслевые звания и знаки отличия изготавливаются на Московском Монетном Дворе </w:t>
            </w:r>
            <w:proofErr w:type="spellStart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>Гознака</w:t>
            </w:r>
            <w:proofErr w:type="spellEnd"/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 из сплава драгоценных металлов, имеют очень высокое качество и защиту от подделки.</w:t>
            </w:r>
          </w:p>
          <w:p w:rsidR="00434488" w:rsidRPr="00434488" w:rsidRDefault="00434488" w:rsidP="00434488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t xml:space="preserve">В финансово-экономическом обосновании законопроекта не </w:t>
            </w:r>
            <w:r w:rsidRPr="0043448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учтены дополнительные расходы областного бюджета, связанные с разработкой художественного эскиза памятного знака «За супружеское долголетие», изготовлением образца такого знака отличия из драгоценного металла, удостоверений к такому знаку отличия, футляра, тиража знаков, а также расходы на оплату почтовых услуг и услуг кредитных организаций.</w:t>
            </w:r>
          </w:p>
          <w:p w:rsidR="00B631CE" w:rsidRPr="00E05158" w:rsidRDefault="00B631CE" w:rsidP="00173031">
            <w:pPr>
              <w:pStyle w:val="Default"/>
              <w:tabs>
                <w:tab w:val="left" w:pos="709"/>
              </w:tabs>
              <w:jc w:val="both"/>
            </w:pPr>
          </w:p>
        </w:tc>
        <w:tc>
          <w:tcPr>
            <w:tcW w:w="2268" w:type="dxa"/>
          </w:tcPr>
          <w:p w:rsidR="00B631CE" w:rsidRPr="009875C5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631CE" w:rsidRDefault="00B631CE" w:rsidP="00173031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B631CE" w:rsidRPr="00846B84" w:rsidRDefault="00B631CE" w:rsidP="00173031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Предложить</w:t>
            </w:r>
            <w:r w:rsidRPr="00846B84">
              <w:rPr>
                <w:szCs w:val="28"/>
              </w:rPr>
              <w:t xml:space="preserve"> депутатам облас</w:t>
            </w:r>
            <w:r>
              <w:rPr>
                <w:szCs w:val="28"/>
              </w:rPr>
              <w:t>тного Собрания депутатов отклонить</w:t>
            </w:r>
            <w:r w:rsidRPr="00846B84">
              <w:rPr>
                <w:szCs w:val="28"/>
              </w:rPr>
              <w:t xml:space="preserve"> д</w:t>
            </w:r>
            <w:r>
              <w:rPr>
                <w:szCs w:val="28"/>
              </w:rPr>
              <w:t>анный проект областного  закона.</w:t>
            </w:r>
          </w:p>
          <w:p w:rsidR="00B631CE" w:rsidRPr="009875C5" w:rsidRDefault="00B631CE" w:rsidP="00173031">
            <w:pPr>
              <w:pStyle w:val="a9"/>
              <w:jc w:val="both"/>
            </w:pPr>
          </w:p>
        </w:tc>
      </w:tr>
      <w:tr w:rsidR="00B631CE" w:rsidRPr="00B27A37" w:rsidTr="00173031">
        <w:tc>
          <w:tcPr>
            <w:tcW w:w="534" w:type="dxa"/>
          </w:tcPr>
          <w:p w:rsidR="00B631CE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B631CE" w:rsidRPr="00FC24EA" w:rsidRDefault="00B631CE" w:rsidP="00173031">
            <w:pPr>
              <w:jc w:val="both"/>
            </w:pPr>
            <w:r>
              <w:t>Проект</w:t>
            </w:r>
            <w:r w:rsidRPr="00FC24EA">
              <w:t xml:space="preserve"> постановления </w:t>
            </w:r>
            <w:r>
              <w:t xml:space="preserve">    № пп</w:t>
            </w:r>
            <w:proofErr w:type="gramStart"/>
            <w:r>
              <w:t>7</w:t>
            </w:r>
            <w:proofErr w:type="gramEnd"/>
            <w:r>
              <w:t>/415</w:t>
            </w:r>
            <w:r w:rsidRPr="00FC24EA">
              <w:t xml:space="preserve"> «О законодательной инициативе Архангельского областного Собрания депутатов по внесению проекта федерального закона </w:t>
            </w:r>
            <w:r w:rsidRPr="00FC24EA">
              <w:rPr>
                <w:rStyle w:val="FontStyle13"/>
                <w:b w:val="0"/>
                <w:bCs/>
              </w:rPr>
              <w:t>«».</w:t>
            </w:r>
          </w:p>
          <w:p w:rsidR="00B631CE" w:rsidRPr="00FC24EA" w:rsidRDefault="00B631CE" w:rsidP="00173031">
            <w:pPr>
              <w:ind w:left="57" w:right="57" w:firstLine="651"/>
              <w:jc w:val="both"/>
            </w:pPr>
          </w:p>
        </w:tc>
        <w:tc>
          <w:tcPr>
            <w:tcW w:w="2836" w:type="dxa"/>
          </w:tcPr>
          <w:p w:rsidR="00B631CE" w:rsidRPr="00FC24EA" w:rsidRDefault="00B631CE" w:rsidP="00173031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</w:t>
            </w:r>
            <w:r w:rsidRPr="0076272B">
              <w:rPr>
                <w:b/>
                <w:sz w:val="24"/>
                <w:szCs w:val="24"/>
              </w:rPr>
              <w:t xml:space="preserve"> внесения:</w:t>
            </w:r>
            <w:r>
              <w:rPr>
                <w:sz w:val="24"/>
                <w:szCs w:val="24"/>
              </w:rPr>
              <w:t xml:space="preserve"> Депутат</w:t>
            </w:r>
            <w:r w:rsidRPr="00FC24EA">
              <w:rPr>
                <w:sz w:val="24"/>
                <w:szCs w:val="24"/>
              </w:rPr>
              <w:t xml:space="preserve"> Архангельского областн</w:t>
            </w:r>
            <w:r>
              <w:rPr>
                <w:sz w:val="24"/>
                <w:szCs w:val="24"/>
              </w:rPr>
              <w:t>ого Собрания депутатов Чесноков И.А.</w:t>
            </w:r>
          </w:p>
          <w:p w:rsidR="00B631CE" w:rsidRPr="00FC24EA" w:rsidRDefault="00B631CE" w:rsidP="00173031">
            <w:pPr>
              <w:jc w:val="both"/>
            </w:pPr>
            <w:r w:rsidRPr="0076272B">
              <w:rPr>
                <w:b/>
              </w:rPr>
              <w:t>Докладчик:</w:t>
            </w:r>
            <w:r w:rsidR="00434488">
              <w:rPr>
                <w:b/>
              </w:rPr>
              <w:t xml:space="preserve"> </w:t>
            </w:r>
            <w:r w:rsidR="00434488" w:rsidRPr="00434488">
              <w:t>Чесноков Игорь Александрович</w:t>
            </w:r>
            <w:r w:rsidR="00434488">
              <w:rPr>
                <w:b/>
              </w:rPr>
              <w:t xml:space="preserve"> </w:t>
            </w:r>
            <w:r w:rsidR="00434488" w:rsidRPr="00B631CE">
              <w:t xml:space="preserve">– депутат </w:t>
            </w:r>
            <w:r w:rsidR="00434488">
              <w:t>Архангел</w:t>
            </w:r>
            <w:r w:rsidR="00434488" w:rsidRPr="00B631CE">
              <w:t>ьского областного Собрания депутатов</w:t>
            </w:r>
            <w:r w:rsidR="00434488">
              <w:t>.</w:t>
            </w:r>
          </w:p>
          <w:p w:rsidR="00B631CE" w:rsidRPr="00FC24EA" w:rsidRDefault="00B631CE" w:rsidP="0017303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34488" w:rsidRPr="00434488" w:rsidRDefault="00434488" w:rsidP="0043448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34488">
              <w:t>Законопроектом предлагается внести изменение в абзац второй пункта 2 статьи 15 Федерального закона от 15 ноября 1997 года № 143-ФЗ «Об актах гражданского состояния», дополнив его положением, предусматривающим,    что</w:t>
            </w:r>
            <w:r w:rsidRPr="00434488">
              <w:rPr>
                <w:rFonts w:eastAsia="Calibri"/>
              </w:rPr>
              <w:t xml:space="preserve"> в случае проживания родителей (одного из родителей) </w:t>
            </w:r>
            <w:r w:rsidRPr="00434488">
              <w:rPr>
                <w:rFonts w:eastAsia="Calibri"/>
                <w:lang w:eastAsia="en-US"/>
              </w:rPr>
              <w:t xml:space="preserve">в городском поселении, городском округе, муниципальном округе при условии,                 что численность населения такого городского поселения, городского округа, муниципального округа не превышает 50 тысяч человек, </w:t>
            </w:r>
            <w:r w:rsidRPr="00434488">
              <w:rPr>
                <w:rFonts w:eastAsia="Calibri"/>
              </w:rPr>
              <w:t>по</w:t>
            </w:r>
            <w:proofErr w:type="gramEnd"/>
            <w:r w:rsidRPr="00434488">
              <w:rPr>
                <w:rFonts w:eastAsia="Calibri"/>
              </w:rPr>
              <w:t xml:space="preserve"> их желанию вместо фактического места рождения ребенка может быть указано место жительства родителей (одного из родителей).</w:t>
            </w:r>
          </w:p>
          <w:p w:rsidR="00B631CE" w:rsidRPr="00434488" w:rsidRDefault="00B631CE" w:rsidP="00434488">
            <w:pPr>
              <w:pStyle w:val="a9"/>
              <w:jc w:val="both"/>
            </w:pPr>
          </w:p>
        </w:tc>
        <w:tc>
          <w:tcPr>
            <w:tcW w:w="2268" w:type="dxa"/>
          </w:tcPr>
          <w:p w:rsidR="00B631CE" w:rsidRPr="00434488" w:rsidRDefault="002A623A" w:rsidP="0043448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май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B631CE" w:rsidRPr="00434488" w:rsidRDefault="00B631CE" w:rsidP="00434488">
            <w:pPr>
              <w:pStyle w:val="2"/>
              <w:spacing w:after="0" w:line="240" w:lineRule="auto"/>
              <w:jc w:val="both"/>
            </w:pPr>
            <w:r w:rsidRPr="00434488">
              <w:t>Решили:</w:t>
            </w:r>
          </w:p>
          <w:p w:rsidR="00434488" w:rsidRPr="00434488" w:rsidRDefault="00434488" w:rsidP="0043448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Поддержать</w:t>
            </w:r>
            <w:r w:rsidRPr="00434488">
              <w:t xml:space="preserve"> данную законод</w:t>
            </w:r>
            <w:r>
              <w:t>ательную инициативу и предложить</w:t>
            </w:r>
            <w:r w:rsidRPr="00434488">
              <w:t xml:space="preserve"> депутатам областного Собрания депутатов принять предложенный проект постановления.</w:t>
            </w:r>
          </w:p>
          <w:p w:rsidR="00434488" w:rsidRPr="00434488" w:rsidRDefault="00434488" w:rsidP="00434488">
            <w:pPr>
              <w:pStyle w:val="2"/>
              <w:spacing w:after="0" w:line="240" w:lineRule="auto"/>
              <w:jc w:val="both"/>
            </w:pPr>
          </w:p>
          <w:p w:rsidR="00B631CE" w:rsidRPr="00434488" w:rsidRDefault="00B631CE" w:rsidP="00434488">
            <w:pPr>
              <w:pStyle w:val="2"/>
              <w:spacing w:after="0" w:line="240" w:lineRule="auto"/>
              <w:jc w:val="both"/>
            </w:pPr>
          </w:p>
        </w:tc>
      </w:tr>
      <w:tr w:rsidR="00B631CE" w:rsidRPr="00B27A37" w:rsidTr="00173031">
        <w:tc>
          <w:tcPr>
            <w:tcW w:w="534" w:type="dxa"/>
          </w:tcPr>
          <w:p w:rsidR="00B631CE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631CE" w:rsidRPr="00B631CE" w:rsidRDefault="00B631CE" w:rsidP="00B631CE">
            <w:pPr>
              <w:pStyle w:val="ad"/>
              <w:jc w:val="both"/>
            </w:pPr>
            <w:r w:rsidRPr="00B631CE">
              <w:t xml:space="preserve">Проект постановления </w:t>
            </w:r>
            <w:r>
              <w:t xml:space="preserve">    </w:t>
            </w:r>
            <w:r w:rsidRPr="00B631CE">
              <w:t>№ пп</w:t>
            </w:r>
            <w:proofErr w:type="gramStart"/>
            <w:r w:rsidRPr="00B631CE">
              <w:t>7</w:t>
            </w:r>
            <w:proofErr w:type="gramEnd"/>
            <w:r w:rsidRPr="00B631CE">
              <w:t xml:space="preserve">/417 «Об обязательном публичном отчете о результатах </w:t>
            </w:r>
            <w:r w:rsidRPr="00B631CE">
              <w:lastRenderedPageBreak/>
              <w:t>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указанных организаций за 2020 год».</w:t>
            </w:r>
          </w:p>
          <w:p w:rsidR="00B631CE" w:rsidRPr="00B631CE" w:rsidRDefault="00B631CE" w:rsidP="00B631CE">
            <w:pPr>
              <w:ind w:firstLine="651"/>
              <w:jc w:val="both"/>
            </w:pPr>
          </w:p>
        </w:tc>
        <w:tc>
          <w:tcPr>
            <w:tcW w:w="2836" w:type="dxa"/>
          </w:tcPr>
          <w:p w:rsidR="002A623A" w:rsidRPr="00A61175" w:rsidRDefault="002A623A" w:rsidP="002A623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23A" w:rsidRPr="002A623A" w:rsidRDefault="002A623A" w:rsidP="002A623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sz w:val="24"/>
                <w:szCs w:val="24"/>
              </w:rPr>
              <w:t xml:space="preserve">Губернатор Архангельской области А.В. </w:t>
            </w:r>
            <w:proofErr w:type="spellStart"/>
            <w:r w:rsidRPr="00A61175"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 w:rsidRPr="00A6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1CE" w:rsidRPr="00B631CE" w:rsidRDefault="00B631CE" w:rsidP="00B631CE">
            <w:pPr>
              <w:jc w:val="both"/>
            </w:pPr>
            <w:r w:rsidRPr="00B631CE">
              <w:rPr>
                <w:b/>
              </w:rPr>
              <w:lastRenderedPageBreak/>
              <w:t xml:space="preserve">Докладчик: </w:t>
            </w:r>
            <w:proofErr w:type="spellStart"/>
            <w:r w:rsidRPr="00B631CE">
              <w:t>Старжинская</w:t>
            </w:r>
            <w:proofErr w:type="spellEnd"/>
            <w:r w:rsidRPr="00B631CE">
              <w:t xml:space="preserve"> Олеся Борисовна</w:t>
            </w:r>
            <w:r w:rsidRPr="00B631CE">
              <w:rPr>
                <w:b/>
              </w:rPr>
              <w:t xml:space="preserve"> – </w:t>
            </w:r>
            <w:r w:rsidRPr="00B631CE">
              <w:t>заместитель председателя Правительства Архангельской области.</w:t>
            </w:r>
          </w:p>
          <w:p w:rsidR="00B631CE" w:rsidRPr="00B631CE" w:rsidRDefault="00B631CE" w:rsidP="0017303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A623A" w:rsidRPr="002A623A" w:rsidRDefault="002A623A" w:rsidP="002A623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 xml:space="preserve">   </w:t>
            </w:r>
            <w:proofErr w:type="gramStart"/>
            <w:r w:rsidRPr="002A623A">
              <w:rPr>
                <w:color w:val="000000"/>
              </w:rPr>
              <w:t xml:space="preserve">Публичный отчет </w:t>
            </w:r>
            <w:r w:rsidRPr="002A623A">
              <w:rPr>
                <w:rFonts w:eastAsiaTheme="minorHAnsi"/>
                <w:lang w:eastAsia="en-US"/>
              </w:rPr>
              <w:t xml:space="preserve">о результатах независимой оценки качества условий оказания услуг организациями в сфере культуры, </w:t>
            </w:r>
            <w:r w:rsidRPr="002A623A">
              <w:rPr>
                <w:rFonts w:eastAsiaTheme="minorHAnsi"/>
                <w:lang w:eastAsia="en-US"/>
              </w:rPr>
              <w:lastRenderedPageBreak/>
              <w:t xml:space="preserve">охраны здоровья, образования, социального обслуживания, которые расположены на территории Архангельской области и учредителем которых является Архангельская область, и принимаемых мерах по совершенствованию деятельности указанных организаций за 2020 год </w:t>
            </w:r>
            <w:r w:rsidRPr="002A623A">
              <w:t xml:space="preserve">(далее – Отчет) представлен в Архангельское областное Собрание депутатов в соответствии с </w:t>
            </w:r>
            <w:r w:rsidRPr="002A623A">
              <w:rPr>
                <w:color w:val="000000"/>
              </w:rPr>
              <w:t xml:space="preserve">пунктом 3  статьи 14.1 областного закона </w:t>
            </w:r>
            <w:r>
              <w:rPr>
                <w:color w:val="000000"/>
              </w:rPr>
              <w:t xml:space="preserve">      </w:t>
            </w:r>
            <w:r w:rsidRPr="002A623A">
              <w:t>№ 19-3-ОЗ</w:t>
            </w:r>
            <w:proofErr w:type="gramEnd"/>
            <w:r w:rsidRPr="002A623A">
              <w:t xml:space="preserve"> «О Правительстве Архангельской области и иных исполнительных органах госуд</w:t>
            </w:r>
            <w:r>
              <w:t xml:space="preserve">арственной власти Архангельской области» </w:t>
            </w:r>
            <w:r w:rsidRPr="002A623A">
              <w:t xml:space="preserve">с соблюдением срока внесения и соответствует форме обязательного публичного отчета, утвержденной Постановлением Правительства Российской Федерации от 17 апреля 2018 года № 457. </w:t>
            </w:r>
            <w:r>
              <w:t xml:space="preserve"> Слайдовый доклад размещен на сайте АОСД на странице комитета по социальной политике и здравоохранению.</w:t>
            </w:r>
          </w:p>
          <w:p w:rsidR="00B631CE" w:rsidRPr="00BA7EB3" w:rsidRDefault="00B631CE" w:rsidP="00173031">
            <w:pPr>
              <w:jc w:val="both"/>
            </w:pPr>
          </w:p>
        </w:tc>
        <w:tc>
          <w:tcPr>
            <w:tcW w:w="2268" w:type="dxa"/>
          </w:tcPr>
          <w:p w:rsidR="00B631CE" w:rsidRPr="003206AE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B631CE" w:rsidRDefault="00B631CE" w:rsidP="00B631CE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2A623A" w:rsidRDefault="002A623A" w:rsidP="00B631CE">
            <w:pPr>
              <w:pStyle w:val="2"/>
              <w:spacing w:after="0" w:line="240" w:lineRule="auto"/>
              <w:jc w:val="both"/>
            </w:pPr>
            <w:r>
              <w:t>Рекомендовать</w:t>
            </w:r>
            <w:r w:rsidRPr="00D049D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депутатам областного Собрания </w:t>
            </w:r>
            <w:r w:rsidRPr="00E42CBA">
              <w:rPr>
                <w:szCs w:val="28"/>
              </w:rPr>
              <w:t>принять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представленный</w:t>
            </w:r>
            <w:r w:rsidRPr="00D049D3">
              <w:rPr>
                <w:szCs w:val="28"/>
              </w:rPr>
              <w:t xml:space="preserve"> проект </w:t>
            </w:r>
            <w:r>
              <w:rPr>
                <w:szCs w:val="28"/>
              </w:rPr>
              <w:t>постановления Архангельского областного Собрания депутатов на двадцать шестой</w:t>
            </w:r>
            <w:r w:rsidRPr="00D049D3">
              <w:rPr>
                <w:szCs w:val="28"/>
              </w:rPr>
              <w:t xml:space="preserve"> сессии Архангельского областного Собрания депутатов седьмого созыва.</w:t>
            </w:r>
          </w:p>
          <w:p w:rsidR="00B631CE" w:rsidRPr="00B90912" w:rsidRDefault="00B631CE" w:rsidP="00173031">
            <w:pPr>
              <w:pStyle w:val="2"/>
              <w:spacing w:after="0" w:line="240" w:lineRule="auto"/>
              <w:jc w:val="both"/>
            </w:pPr>
          </w:p>
        </w:tc>
      </w:tr>
      <w:tr w:rsidR="00B631CE" w:rsidRPr="00B27A37" w:rsidTr="00173031">
        <w:tc>
          <w:tcPr>
            <w:tcW w:w="534" w:type="dxa"/>
          </w:tcPr>
          <w:p w:rsidR="00B631CE" w:rsidRDefault="00B631CE" w:rsidP="001730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B631CE" w:rsidRPr="00834FB3" w:rsidRDefault="00B631CE" w:rsidP="00173031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B631CE" w:rsidRPr="00BA7EB3" w:rsidRDefault="00B631CE" w:rsidP="00173031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</w:p>
          <w:p w:rsidR="00B631CE" w:rsidRPr="00801659" w:rsidRDefault="00B631CE" w:rsidP="00173031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631CE" w:rsidRPr="00BA7EB3" w:rsidRDefault="00B631CE" w:rsidP="00173031">
            <w:pPr>
              <w:jc w:val="both"/>
            </w:pPr>
          </w:p>
        </w:tc>
        <w:tc>
          <w:tcPr>
            <w:tcW w:w="2268" w:type="dxa"/>
          </w:tcPr>
          <w:p w:rsidR="00B631CE" w:rsidRPr="003206AE" w:rsidRDefault="00B631CE" w:rsidP="0017303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B631CE" w:rsidRPr="00E530F6" w:rsidRDefault="00B631CE" w:rsidP="00173031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proofErr w:type="spellStart"/>
            <w:r>
              <w:t>Коробицыну</w:t>
            </w:r>
            <w:proofErr w:type="spellEnd"/>
            <w:r>
              <w:t xml:space="preserve"> Е.Н.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Дудинскую Т.А.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Фомину А.А.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Маркову З.А.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Пронину И.Н.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proofErr w:type="spellStart"/>
            <w:r>
              <w:lastRenderedPageBreak/>
              <w:t>Стукова</w:t>
            </w:r>
            <w:proofErr w:type="spellEnd"/>
            <w:r>
              <w:t xml:space="preserve"> Н.В.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proofErr w:type="spellStart"/>
            <w:r>
              <w:t>Берчак</w:t>
            </w:r>
            <w:proofErr w:type="spellEnd"/>
            <w:r>
              <w:t xml:space="preserve"> Р.А.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r>
              <w:t>Горбачеву Л.Н.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r>
              <w:t>Крылову Л.М.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B631CE" w:rsidRDefault="00B631CE" w:rsidP="00173031">
            <w:pPr>
              <w:pStyle w:val="2"/>
              <w:spacing w:after="0" w:line="240" w:lineRule="auto"/>
              <w:jc w:val="both"/>
            </w:pPr>
            <w:r>
              <w:t>Денисовой А.Г.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r>
              <w:t>Дроздовой Е.А.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r>
              <w:t>Рябининой С.С.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proofErr w:type="spellStart"/>
            <w:r>
              <w:t>Ладкиной</w:t>
            </w:r>
            <w:proofErr w:type="spellEnd"/>
            <w:r>
              <w:t xml:space="preserve"> Н.Н.</w:t>
            </w:r>
          </w:p>
          <w:p w:rsidR="002A623A" w:rsidRDefault="002A623A" w:rsidP="00173031">
            <w:pPr>
              <w:pStyle w:val="2"/>
              <w:spacing w:after="0" w:line="240" w:lineRule="auto"/>
              <w:jc w:val="both"/>
            </w:pPr>
            <w:proofErr w:type="spellStart"/>
            <w:r>
              <w:t>Фишовой</w:t>
            </w:r>
            <w:proofErr w:type="spellEnd"/>
            <w:r>
              <w:t xml:space="preserve"> Н.А.</w:t>
            </w:r>
          </w:p>
          <w:p w:rsidR="00B631CE" w:rsidRPr="00B90912" w:rsidRDefault="00B631CE" w:rsidP="00173031">
            <w:pPr>
              <w:pStyle w:val="2"/>
              <w:spacing w:after="0" w:line="240" w:lineRule="auto"/>
              <w:jc w:val="both"/>
            </w:pPr>
          </w:p>
        </w:tc>
      </w:tr>
    </w:tbl>
    <w:p w:rsidR="00B631CE" w:rsidRDefault="00B631CE" w:rsidP="00B631CE"/>
    <w:p w:rsidR="00425563" w:rsidRDefault="00425563"/>
    <w:sectPr w:rsidR="00425563" w:rsidSect="00C52032">
      <w:headerReference w:type="even" r:id="rId5"/>
      <w:headerReference w:type="default" r:id="rId6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2A623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2A62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2A623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2A62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88A"/>
    <w:multiLevelType w:val="hybridMultilevel"/>
    <w:tmpl w:val="795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CE"/>
    <w:rsid w:val="00002AE7"/>
    <w:rsid w:val="00006877"/>
    <w:rsid w:val="000075AB"/>
    <w:rsid w:val="00046286"/>
    <w:rsid w:val="00053FB0"/>
    <w:rsid w:val="00064D36"/>
    <w:rsid w:val="000D7952"/>
    <w:rsid w:val="00103694"/>
    <w:rsid w:val="0010372B"/>
    <w:rsid w:val="001500A8"/>
    <w:rsid w:val="00154212"/>
    <w:rsid w:val="00156EAB"/>
    <w:rsid w:val="00174931"/>
    <w:rsid w:val="001D388B"/>
    <w:rsid w:val="001F7EAB"/>
    <w:rsid w:val="0020498F"/>
    <w:rsid w:val="00226F18"/>
    <w:rsid w:val="00286DE0"/>
    <w:rsid w:val="002A623A"/>
    <w:rsid w:val="002C5182"/>
    <w:rsid w:val="00321263"/>
    <w:rsid w:val="00326033"/>
    <w:rsid w:val="0033283C"/>
    <w:rsid w:val="0033422C"/>
    <w:rsid w:val="00344DDA"/>
    <w:rsid w:val="003763B0"/>
    <w:rsid w:val="003A4EA4"/>
    <w:rsid w:val="003D61CF"/>
    <w:rsid w:val="00425563"/>
    <w:rsid w:val="00427148"/>
    <w:rsid w:val="00434488"/>
    <w:rsid w:val="004429C7"/>
    <w:rsid w:val="00460EB8"/>
    <w:rsid w:val="004A7910"/>
    <w:rsid w:val="004C5942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827821"/>
    <w:rsid w:val="008C0D43"/>
    <w:rsid w:val="008C1E5B"/>
    <w:rsid w:val="008F456A"/>
    <w:rsid w:val="00A36FD2"/>
    <w:rsid w:val="00AB5C01"/>
    <w:rsid w:val="00AD1113"/>
    <w:rsid w:val="00AD50D7"/>
    <w:rsid w:val="00B15FF0"/>
    <w:rsid w:val="00B40228"/>
    <w:rsid w:val="00B631CE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B3763"/>
    <w:rsid w:val="00D142DE"/>
    <w:rsid w:val="00D312E2"/>
    <w:rsid w:val="00D3463C"/>
    <w:rsid w:val="00D754BB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631CE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B631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3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631CE"/>
  </w:style>
  <w:style w:type="paragraph" w:styleId="2">
    <w:name w:val="Body Text 2"/>
    <w:basedOn w:val="a"/>
    <w:link w:val="20"/>
    <w:uiPriority w:val="99"/>
    <w:unhideWhenUsed/>
    <w:rsid w:val="00B631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3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B631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B631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631CE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B6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B631CE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B631CE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631CE"/>
    <w:rPr>
      <w:rFonts w:ascii="Consolas" w:eastAsia="Calibri" w:hAnsi="Consolas" w:cs="Times New Roman"/>
      <w:sz w:val="21"/>
      <w:szCs w:val="21"/>
    </w:rPr>
  </w:style>
  <w:style w:type="paragraph" w:styleId="ad">
    <w:name w:val="Normal (Web)"/>
    <w:aliases w:val="Обычный (веб) Знак"/>
    <w:basedOn w:val="a"/>
    <w:link w:val="10"/>
    <w:rsid w:val="00B631CE"/>
  </w:style>
  <w:style w:type="character" w:customStyle="1" w:styleId="10">
    <w:name w:val="Обычный (веб) Знак1"/>
    <w:aliases w:val="Обычный (веб) Знак Знак"/>
    <w:link w:val="ad"/>
    <w:locked/>
    <w:rsid w:val="00B63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631CE"/>
    <w:rPr>
      <w:rFonts w:ascii="Times New Roman" w:hAnsi="Times New Roman"/>
      <w:b/>
      <w:sz w:val="24"/>
    </w:rPr>
  </w:style>
  <w:style w:type="paragraph" w:customStyle="1" w:styleId="Default">
    <w:name w:val="Default"/>
    <w:rsid w:val="00B63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2021-05-27T07:54:00Z</dcterms:created>
  <dcterms:modified xsi:type="dcterms:W3CDTF">2021-05-27T10:00:00Z</dcterms:modified>
</cp:coreProperties>
</file>