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2A" w:rsidRDefault="0070732A" w:rsidP="0070732A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0732A" w:rsidRPr="00D10BDD" w:rsidRDefault="0070732A" w:rsidP="0070732A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70732A" w:rsidRDefault="0070732A" w:rsidP="0070732A">
      <w:pPr>
        <w:pStyle w:val="a3"/>
        <w:ind w:firstLine="11700"/>
        <w:rPr>
          <w:b/>
          <w:sz w:val="24"/>
          <w:szCs w:val="24"/>
        </w:rPr>
      </w:pPr>
    </w:p>
    <w:p w:rsidR="0070732A" w:rsidRPr="00D10BDD" w:rsidRDefault="0070732A" w:rsidP="0070732A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от «17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2021</w:t>
      </w:r>
      <w:r w:rsidRPr="00D10BDD">
        <w:rPr>
          <w:sz w:val="24"/>
          <w:szCs w:val="24"/>
        </w:rPr>
        <w:t xml:space="preserve"> года</w:t>
      </w:r>
    </w:p>
    <w:p w:rsidR="0070732A" w:rsidRPr="00D10BDD" w:rsidRDefault="0070732A" w:rsidP="0070732A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70732A" w:rsidRDefault="0070732A" w:rsidP="0070732A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0732A" w:rsidRDefault="0070732A" w:rsidP="0070732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0732A" w:rsidRPr="00100F79" w:rsidRDefault="0070732A" w:rsidP="0070732A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515б</w:t>
      </w:r>
    </w:p>
    <w:p w:rsidR="0070732A" w:rsidRDefault="0070732A" w:rsidP="0070732A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70732A" w:rsidTr="00300EFF">
        <w:tc>
          <w:tcPr>
            <w:tcW w:w="534" w:type="dxa"/>
            <w:vAlign w:val="center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0732A" w:rsidRPr="005366CD" w:rsidRDefault="0070732A" w:rsidP="00300EFF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0732A" w:rsidRDefault="0070732A" w:rsidP="00300EF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0732A" w:rsidRPr="007F1B93" w:rsidRDefault="0070732A" w:rsidP="00300EF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0732A" w:rsidRDefault="0070732A" w:rsidP="00300EFF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0732A" w:rsidRPr="007F1B93" w:rsidRDefault="0070732A" w:rsidP="00300EFF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0732A" w:rsidRPr="005366CD" w:rsidRDefault="0070732A" w:rsidP="00300EF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0732A" w:rsidRPr="00B27A37" w:rsidTr="00300EFF">
        <w:tc>
          <w:tcPr>
            <w:tcW w:w="534" w:type="dxa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0732A" w:rsidRPr="005366CD" w:rsidRDefault="0070732A" w:rsidP="00300EFF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0732A" w:rsidRPr="00EE4528" w:rsidRDefault="0070732A" w:rsidP="00300EF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0732A" w:rsidRPr="005366CD" w:rsidRDefault="0070732A" w:rsidP="00300EFF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0732A" w:rsidRPr="005366CD" w:rsidRDefault="0070732A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70732A" w:rsidRPr="00B27A37" w:rsidTr="00300EFF">
        <w:tc>
          <w:tcPr>
            <w:tcW w:w="534" w:type="dxa"/>
          </w:tcPr>
          <w:p w:rsidR="0070732A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0732A" w:rsidRPr="0070732A" w:rsidRDefault="0070732A" w:rsidP="00300EFF">
            <w:pPr>
              <w:jc w:val="both"/>
            </w:pPr>
            <w:r w:rsidRPr="0070732A">
              <w:rPr>
                <w:color w:val="000000" w:themeColor="text1"/>
              </w:rPr>
              <w:t xml:space="preserve">О проекте областного закона </w:t>
            </w:r>
            <w:r w:rsidRPr="0070732A">
              <w:t>«Об исполнении бюджета территориального фонда обязательного медицинского страхования Архангельской области за 2020 год</w:t>
            </w:r>
            <w:r w:rsidRPr="0070732A">
              <w:rPr>
                <w:bCs/>
              </w:rPr>
              <w:t>».</w:t>
            </w:r>
          </w:p>
        </w:tc>
        <w:tc>
          <w:tcPr>
            <w:tcW w:w="2836" w:type="dxa"/>
          </w:tcPr>
          <w:p w:rsidR="004C13D5" w:rsidRDefault="004C13D5" w:rsidP="0070732A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</w:p>
          <w:p w:rsidR="0070732A" w:rsidRPr="0070732A" w:rsidRDefault="0070732A" w:rsidP="0070732A">
            <w:pPr>
              <w:jc w:val="both"/>
              <w:rPr>
                <w:b/>
              </w:rPr>
            </w:pPr>
            <w:r w:rsidRPr="0070732A">
              <w:rPr>
                <w:b/>
              </w:rPr>
              <w:t xml:space="preserve">Докладчики: </w:t>
            </w:r>
          </w:p>
          <w:p w:rsidR="0070732A" w:rsidRPr="0070732A" w:rsidRDefault="0070732A" w:rsidP="0070732A">
            <w:pPr>
              <w:jc w:val="both"/>
            </w:pPr>
            <w:r w:rsidRPr="0070732A">
              <w:t>Ясько Наталья Николаевна – директор территориального фонда обязательного медицинского страхования Архангельской области;</w:t>
            </w:r>
          </w:p>
          <w:p w:rsidR="0070732A" w:rsidRPr="0070732A" w:rsidRDefault="0070732A" w:rsidP="0070732A">
            <w:pPr>
              <w:jc w:val="both"/>
            </w:pPr>
            <w:r w:rsidRPr="0070732A">
              <w:t>Чернецовская Анастасия Евгеньевна – заместитель министра здравоохранения Архангельской области.</w:t>
            </w:r>
          </w:p>
          <w:p w:rsidR="0070732A" w:rsidRPr="0070732A" w:rsidRDefault="0070732A" w:rsidP="00300EFF">
            <w:pPr>
              <w:pStyle w:val="ac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t>За отчетный период бюджет территориального фонда обязательного медицинского страхования Архангельской области (далее – бюджет территориального фонда ОМС) исполнен по доходам в сумме 24 709,7 млн. рублей (100,1 %), по расходам в сумме 24 751,7 млн. рублей (99,2 %). Превышение доходов над расходами составило 42,0 млн. рублей.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t xml:space="preserve">По итогам 2020 года 99,7 % в общей структуре доходов составили безвозмездные поступления 24 646,7 млн. рублей (исполнение 100,1 %)                          с увеличением к уровню 2019 года на 1 249,4 млн. рублей или на 5,3 %,                              в том числе за счет субвенции на </w:t>
            </w:r>
            <w:r w:rsidRPr="0000105D">
              <w:lastRenderedPageBreak/>
              <w:t xml:space="preserve">финансовое обеспечение организации ОМС поступления увеличились на 1 450,5 млн. рублей или на 6,5 %.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rPr>
                <w:rFonts w:eastAsiaTheme="minorHAnsi"/>
              </w:rPr>
              <w:t>Основным направлением расходования средств бюджета территориального фонда ОМС в отчетном году является исполнение</w:t>
            </w:r>
            <w:r w:rsidRPr="0000105D">
              <w:t xml:space="preserve"> Территориальной программы государственных гарантий бесплатного оказания гражданам медицинской помощи в Архангельской области на 2020 год                            и плановый период 2021 и 2022 годов, утвержденной постановлением Правительства Архангельской области от 24.12.2019 № 777-пп                                       (далее – территориальная программа госгарантий), в реализации которой участвовали 129 (в 2019 году - 121) медицинских организаций различных типов и уровней, из них 121 (в 2019 году – 108) медицинская организация осуществляет деятельность в сфере ОМС.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t xml:space="preserve">Стоимость территориальной программы государственных гарантий                      на 2020 год, с учетом пяти корректировок, внесенных в течение года, утверждена в объеме 30 671,9 млн. рублей, с ростом к уровню 2019 года                           на 5,4 %, в том числе стоимость территориальной программы ОМС                        23 730,8 млн. рублей (77,4% от утвержденной стоимости программы госгарантий в целом), с ростом к </w:t>
            </w:r>
            <w:r w:rsidRPr="0000105D">
              <w:lastRenderedPageBreak/>
              <w:t>уровню 2019 года на 3,9 %.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color w:val="000000" w:themeColor="text1"/>
              </w:rPr>
            </w:pPr>
            <w:r w:rsidRPr="0000105D">
              <w:rPr>
                <w:rFonts w:eastAsiaTheme="minorHAnsi"/>
                <w:lang w:eastAsia="en-US"/>
              </w:rPr>
              <w:t xml:space="preserve">Исполнение территориальной программы госгарантий за отчетный период  составило 30 237,9 млн. рублей </w:t>
            </w:r>
            <w:r w:rsidRPr="0000105D">
              <w:rPr>
                <w:rFonts w:eastAsiaTheme="minorHAnsi"/>
                <w:color w:val="000000" w:themeColor="text1"/>
                <w:lang w:eastAsia="en-US"/>
              </w:rPr>
              <w:t xml:space="preserve">или 99,5 %, что больше данного показателя 2019 года на  2 539,6 млн. рулей или  на 9,2 %. </w:t>
            </w:r>
          </w:p>
          <w:p w:rsidR="0000105D" w:rsidRPr="0000105D" w:rsidRDefault="0000105D" w:rsidP="0000105D">
            <w:pPr>
              <w:ind w:firstLine="175"/>
              <w:jc w:val="both"/>
            </w:pPr>
            <w:r w:rsidRPr="0000105D">
              <w:t>В приложении № 4 к территориальной программе госгарантий утверждены объемы медицинской помощи на 2020 год по видам и условиям её оказания.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t>В целом объемы медицинской помощи, предусмотренные территориальной программой ОМС, выполнены в диапазоне от 26,10 % (молекулярно-генетические исследования в целью выявления онкологических заболеваний) до 110,23 % (медицинская помощь в стационарных условиях                     по профилю «онкология»).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 2020 году не выполнены утвержденные плановые объемы территориальной программы ОМС по следующим видам медицинской помощи: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по амбулаторно-поликлинической медицинской помощи: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посещения с иными целями (82,34 %), для проведения профилактических медицинских осмотров (77,49 %), для проведения диспансеризации (61,34 %);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обращения в связи с заболеваниями (88,84 %), в том числе                                   при ЭКО (криоперенос) (88,84%);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по медицинской помощи, оказываемой в условиях круглосуточного стационара (88,36%), в том числе по профилю </w:t>
            </w:r>
            <w:r w:rsidRPr="0000105D">
              <w:rPr>
                <w:rFonts w:eastAsiaTheme="minorHAnsi"/>
                <w:color w:val="000000"/>
                <w:lang w:eastAsia="en-US"/>
              </w:rPr>
              <w:t>«</w:t>
            </w: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медицинская реабилитация</w:t>
            </w:r>
            <w:r w:rsidRPr="0000105D">
              <w:rPr>
                <w:rFonts w:eastAsiaTheme="minorHAnsi"/>
                <w:color w:val="000000"/>
                <w:lang w:eastAsia="en-US"/>
              </w:rPr>
              <w:t xml:space="preserve">» (48,82%), </w:t>
            </w: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медицинская реабилитация детей (в возрасте от 0 до 17 лет) </w:t>
            </w:r>
            <w:r w:rsidRPr="0000105D">
              <w:rPr>
                <w:rFonts w:eastAsiaTheme="minorHAnsi"/>
                <w:color w:val="000000"/>
                <w:lang w:eastAsia="en-US"/>
              </w:rPr>
              <w:t>–                    39,73 %;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по диагностическим исследованиям: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магнитно-резонансная томография (98,44 %);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ультразвуковое исследование (60,11 %);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эндоскопическое диагностическое исследование (82,87 %);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гистологические исследования с целью выявления онкологических заболеваний (56,38%).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eastAsiaTheme="minorHAnsi"/>
              </w:rPr>
              <w:t>Следует обратить внимание, что утвержденные объемы по скорой медицинской помощи не выполняются шесть лет подряд, начиная с 2014 года (82,85 %, 81,17 %, 95,88 %, 92,27 %, 94,53 %, 94,4 %), в 2020 году                        произошло незначительное перевыполнение плановых объемов 100,12 %.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>В 2020 году реализация территориальной программы ОМС осуществлялась в особых условиях, определенных угрозой распространения заболевания, представляющего опасность для окружающих, вызванного новой коронавирусной инфекцией (COVID-</w:t>
            </w:r>
            <w:r w:rsidRPr="0000105D">
              <w:rPr>
                <w:rFonts w:eastAsiaTheme="minorHAnsi"/>
                <w:lang w:eastAsia="en-US"/>
              </w:rPr>
              <w:lastRenderedPageBreak/>
              <w:t xml:space="preserve">19).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 xml:space="preserve">В соответствии с Федеральным законом от 01.04.2020 № 98-ФЗ                         «О внесении изменений в отдельные законодательные акты Российской Федерации по вопросам предупреждения и ликвидации чрезвычайных ситуаций» Правительством Российской Федерации были определены особенности реализации базовой программы ОМС в данных условиях.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 xml:space="preserve">Начиная с марта 2020 года были введены ограничительные мероприятия, направленные на предупреждение распространения новой коронавирусной инфекции (COVID-19), и было приостановлено проведение профилактических мероприятий в части диспансеризации, в том числе пребывающих                                в стационарных организациях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патронажную семью, и профилактических осмотров граждан, в том числе несовершеннолетних, приостановлено оказание плановой медицинской помощи, как в </w:t>
            </w:r>
            <w:r w:rsidRPr="0000105D">
              <w:rPr>
                <w:rFonts w:eastAsiaTheme="minorHAnsi"/>
                <w:lang w:eastAsia="en-US"/>
              </w:rPr>
              <w:lastRenderedPageBreak/>
              <w:t>амбулаторных условиях, в том числе назначение отдельных диагностических услуг, так и в условиях круглосуточного и дневного стационаров, что соответственно отразилось                   на выполнении объемов предоставления медицинской помощи.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Segoe UI" w:eastAsiaTheme="minorHAnsi" w:hAnsi="Segoe UI" w:cs="Segoe U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>Указом Губернатора Архангельской области от 17.03.2020 № 28-у                    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                    на территории Архангельской области новой коронавирусной инфекции (COVID-2019)» были введены ограничительные мероприятия в части оказания плановой медицинской помощи.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 xml:space="preserve">Просроченная кредиторская задолженность медицинских организаций Архангельской области по состоянию на 01.01.2020 составляла                                     91,4 млн. рублей, на 01.07.2020 – 301,4 млн. рублей (23 медицинских организации), на 01.10.2020 – 117,8 млн. рублей (14 медицинских организаций).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lastRenderedPageBreak/>
              <w:t xml:space="preserve">В 2020 году из областного бюджета виде субсидии на иные цели было выделено 451,975 млн. рублей на погашение  кредиторской задолженности                26 медицинским организациям, работающим в системе ОМС (в 2019 году – 289,026 млн. рублей 19 медицинским организациям). В связи с чем, на конец отчетного периода, на 01.01.2021, просроченная кредиторская задолженность             у медицинских организаций по средствам ОМС отсутствовала.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Комитет отмечает, что вопросы образования и роста просроченной задолженности медицинских организаций в последние годы носят системный характер. Согласно пояснениям министерства здравоохранения Архангельской области и территориального фонда ОМС Архангельской области в отчетном периоде причинами этого являлись: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невыполнение объемов оказания медицинской помощи в рамках ОМС,             в том числе по причине кадрового дефицита;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- сохранение среднемесячной заработной платы и всех социальных гарантий работникам медицинских организаций на уровне 2019 года в особых условиях работы, связанной с угрозой распространения заболевания, предоставляющего опасность для окружающих, </w:t>
            </w: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>вызванного новой коронавирусной инфекцией (COVID-19);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ascii="Symbol" w:eastAsiaTheme="minorHAnsi" w:hAnsi="Symbol" w:cs="Symbol"/>
                <w:color w:val="000000"/>
                <w:lang w:eastAsia="en-US"/>
              </w:rPr>
            </w:pPr>
            <w:r w:rsidRPr="0000105D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- увеличение в 2020 году расходов на оплату медикаментов, коммунальных услуг, продуктов питания и прочих услуг.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0105D">
              <w:t xml:space="preserve">Кроме того, на финансовую ситуацию, которая сложилась                                     в здравоохранении Архангельской области в связи с изменениями, внесенными с 2019 года в методику распределения субвенций, утвержденную постановлением Правительства Российской Федерации № 462, в 2020 году повлияли особенности финансирования </w:t>
            </w:r>
            <w:r w:rsidRPr="0000105D">
              <w:rPr>
                <w:rFonts w:eastAsiaTheme="minorHAnsi"/>
                <w:color w:val="000000"/>
                <w:lang w:eastAsia="en-US"/>
              </w:rPr>
              <w:t xml:space="preserve">государственных медицинских организаций во втором и третьем квартале 2020 года (авансирование оплаты медицинской помощи в размере до 1/12 объема годового финансового обеспечения без учета выполнения ими плановых объемов медицинской помощи) и недовыполнением плановых показателей объемов медицинской помощи по территориальной программе ОМС в условиях введения противоэпидемических ограничений, вызванных пандемией новой коронавирусной инфекции, согласно принятым к оплате счетам за оказанную медицинскую помощь в апреле-декабре 2020 года у медицинских организаций возникла задолженность перед страховыми медицинскими организациями. 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0105D">
              <w:rPr>
                <w:rFonts w:eastAsiaTheme="minorHAnsi"/>
                <w:color w:val="000000"/>
                <w:lang w:eastAsia="en-US"/>
              </w:rPr>
              <w:lastRenderedPageBreak/>
              <w:t>Также произошло снижение поступлений от иной приносящей доход деятельности: платных медицинских услуг, предоставляемых по желанию граждан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Данные средства ранее направлялись на повышение уровня оплаты труда и содержание медицинских организаций.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color w:val="000000"/>
                <w:lang w:eastAsia="en-US"/>
              </w:rPr>
              <w:t>Вышеуказанные факторы не позволили медицинским организациям покрыть принятые на себя обязательства.</w:t>
            </w:r>
          </w:p>
          <w:p w:rsidR="0000105D" w:rsidRPr="0000105D" w:rsidRDefault="0000105D" w:rsidP="0000105D">
            <w:pPr>
              <w:pStyle w:val="a9"/>
              <w:ind w:firstLine="175"/>
              <w:jc w:val="both"/>
            </w:pPr>
            <w:r w:rsidRPr="0000105D">
              <w:t>Контрольно-счетной палатой Архангельского области проведена экспертиза отчета об исполнении бюджета территориального фонда ОСМ                       за 2020 год, по результатам которой установлено, что при исполнении бюджета фондом в отчетном периоде соблюдены нормы бюджетного законодательства Российской Федерации.</w:t>
            </w:r>
          </w:p>
          <w:p w:rsidR="0070732A" w:rsidRPr="001C6534" w:rsidRDefault="0070732A" w:rsidP="0000105D">
            <w:pPr>
              <w:pStyle w:val="af"/>
              <w:numPr>
                <w:ilvl w:val="0"/>
                <w:numId w:val="1"/>
              </w:numPr>
              <w:ind w:left="0" w:firstLine="175"/>
              <w:jc w:val="both"/>
            </w:pPr>
          </w:p>
        </w:tc>
        <w:tc>
          <w:tcPr>
            <w:tcW w:w="2268" w:type="dxa"/>
          </w:tcPr>
          <w:p w:rsidR="0070732A" w:rsidRPr="00A61175" w:rsidRDefault="004C13D5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июнь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00105D" w:rsidRPr="0000105D" w:rsidRDefault="0000105D" w:rsidP="0000105D">
            <w:pPr>
              <w:ind w:firstLine="175"/>
              <w:jc w:val="both"/>
            </w:pPr>
            <w:r w:rsidRPr="0000105D">
              <w:t>Комитет  рекомендует:</w:t>
            </w:r>
          </w:p>
          <w:p w:rsidR="0000105D" w:rsidRPr="0000105D" w:rsidRDefault="0000105D" w:rsidP="0000105D">
            <w:pPr>
              <w:ind w:firstLine="175"/>
              <w:jc w:val="both"/>
            </w:pPr>
            <w:r w:rsidRPr="0000105D">
              <w:t>1) депутатам областного Собрания депутатов принять указанный проект областного закона на двадцать седьмой сессии Архангельского областного Собрания депутатов седьмого созыва в первом и во втором чтении;</w:t>
            </w:r>
          </w:p>
          <w:p w:rsidR="0000105D" w:rsidRPr="00EF5849" w:rsidRDefault="0000105D" w:rsidP="0000105D">
            <w:pPr>
              <w:pStyle w:val="af"/>
              <w:numPr>
                <w:ilvl w:val="0"/>
                <w:numId w:val="1"/>
              </w:numPr>
              <w:ind w:left="0" w:firstLine="175"/>
              <w:jc w:val="both"/>
              <w:rPr>
                <w:sz w:val="28"/>
                <w:szCs w:val="28"/>
              </w:rPr>
            </w:pPr>
            <w:r w:rsidRPr="0000105D">
              <w:t xml:space="preserve">Правительству Архангельской области принять комплекс мер,  направленных на стабилизацию </w:t>
            </w:r>
            <w:r w:rsidRPr="0000105D">
              <w:lastRenderedPageBreak/>
              <w:t>финансового состояния медицинских организаций в целях недопущения образования и дальнейшего роста просроченной кредиторской задолженности государственных учреждений здравоохранения Архангельской области, в том числе за счет средств обязательного медицинского страхования.</w:t>
            </w:r>
          </w:p>
          <w:p w:rsidR="0000105D" w:rsidRPr="00A61175" w:rsidRDefault="0000105D" w:rsidP="00300EFF">
            <w:pPr>
              <w:pStyle w:val="2"/>
              <w:spacing w:after="0" w:line="240" w:lineRule="auto"/>
              <w:jc w:val="both"/>
            </w:pPr>
          </w:p>
        </w:tc>
      </w:tr>
      <w:tr w:rsidR="0070732A" w:rsidRPr="00B27A37" w:rsidTr="00300EFF">
        <w:tc>
          <w:tcPr>
            <w:tcW w:w="534" w:type="dxa"/>
          </w:tcPr>
          <w:p w:rsidR="0070732A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70732A" w:rsidRPr="0070732A" w:rsidRDefault="0070732A" w:rsidP="00300EFF">
            <w:pPr>
              <w:jc w:val="both"/>
            </w:pPr>
            <w:r w:rsidRPr="0070732A">
              <w:rPr>
                <w:bCs/>
              </w:rPr>
              <w:t>Отчет о реализации в 2020 году государственной программы Архангельской области «Развитие здравоохранения Архангельской области».</w:t>
            </w:r>
          </w:p>
        </w:tc>
        <w:tc>
          <w:tcPr>
            <w:tcW w:w="2836" w:type="dxa"/>
          </w:tcPr>
          <w:p w:rsidR="0070732A" w:rsidRPr="0070732A" w:rsidRDefault="0070732A" w:rsidP="0070732A">
            <w:pPr>
              <w:jc w:val="both"/>
            </w:pPr>
            <w:r w:rsidRPr="0070732A">
              <w:rPr>
                <w:b/>
              </w:rPr>
              <w:t>Докладчик:</w:t>
            </w:r>
            <w:r w:rsidRPr="0070732A">
              <w:t xml:space="preserve"> Чернецовская Анастасия Евгеньевна – заместитель министра здравоохранения Архангельской области.</w:t>
            </w:r>
          </w:p>
          <w:p w:rsidR="0070732A" w:rsidRPr="0070732A" w:rsidRDefault="0070732A" w:rsidP="00300EFF">
            <w:pPr>
              <w:pStyle w:val="ac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70732A" w:rsidRPr="001C6534" w:rsidRDefault="0000105D" w:rsidP="00300EFF">
            <w:pPr>
              <w:jc w:val="both"/>
            </w:pPr>
            <w:r>
              <w:t xml:space="preserve">Заслушали информацию </w:t>
            </w:r>
            <w:r w:rsidR="00BC3B2A">
              <w:t>заместителя</w:t>
            </w:r>
            <w:r w:rsidRPr="0070732A">
              <w:t xml:space="preserve"> министра здравоохранения Архангельской области</w:t>
            </w:r>
            <w:r>
              <w:t xml:space="preserve"> Чернецовской А.Е.</w:t>
            </w:r>
          </w:p>
        </w:tc>
        <w:tc>
          <w:tcPr>
            <w:tcW w:w="2268" w:type="dxa"/>
          </w:tcPr>
          <w:p w:rsidR="0070732A" w:rsidRPr="00A61175" w:rsidRDefault="004C13D5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00105D" w:rsidRPr="0000105D" w:rsidRDefault="0070732A" w:rsidP="0000105D">
            <w:pPr>
              <w:pStyle w:val="2"/>
              <w:spacing w:after="0" w:line="240" w:lineRule="auto"/>
              <w:jc w:val="both"/>
            </w:pPr>
            <w:r>
              <w:t>Решили:</w:t>
            </w:r>
            <w:r w:rsidR="0000105D">
              <w:t xml:space="preserve"> направить</w:t>
            </w:r>
            <w:r w:rsidR="0000105D" w:rsidRPr="0000105D">
              <w:t xml:space="preserve"> предложения комитета в проект рекомендаций депутатских слушаний  на тему </w:t>
            </w:r>
            <w:r w:rsidR="0000105D" w:rsidRPr="0000105D">
              <w:rPr>
                <w:bCs/>
              </w:rPr>
              <w:t xml:space="preserve">«О проекте областного закона «Об исполнении областного </w:t>
            </w:r>
            <w:r w:rsidR="0000105D" w:rsidRPr="0000105D">
              <w:rPr>
                <w:bCs/>
              </w:rPr>
              <w:lastRenderedPageBreak/>
              <w:t>бюджета за 2020 год».</w:t>
            </w:r>
          </w:p>
          <w:p w:rsidR="0000105D" w:rsidRPr="0000105D" w:rsidRDefault="0000105D" w:rsidP="0000105D">
            <w:pPr>
              <w:pStyle w:val="a3"/>
              <w:ind w:firstLine="317"/>
              <w:rPr>
                <w:sz w:val="24"/>
                <w:szCs w:val="24"/>
              </w:rPr>
            </w:pPr>
            <w:r w:rsidRPr="0000105D">
              <w:rPr>
                <w:sz w:val="24"/>
                <w:szCs w:val="24"/>
              </w:rPr>
              <w:t>Комитет предлагает рекомендовать Правительству Архангельской области:</w:t>
            </w:r>
          </w:p>
          <w:p w:rsidR="0000105D" w:rsidRPr="0000105D" w:rsidRDefault="0000105D" w:rsidP="0000105D">
            <w:pPr>
              <w:pStyle w:val="a3"/>
              <w:ind w:firstLine="317"/>
              <w:rPr>
                <w:sz w:val="24"/>
                <w:szCs w:val="24"/>
              </w:rPr>
            </w:pPr>
            <w:r w:rsidRPr="0000105D">
              <w:rPr>
                <w:sz w:val="24"/>
                <w:szCs w:val="24"/>
              </w:rPr>
              <w:t>- принять комплекс мер,  направленных на стабилизацию финансового состояния медицинских организаций в целях недопущения образования                       и дальнейшего роста просроченной кредиторской задолженности государственных учреждений здравоохранения Архангельской области, в том числе за счет средств обязательного медицинского страхования.</w:t>
            </w:r>
          </w:p>
          <w:p w:rsidR="0000105D" w:rsidRPr="0000105D" w:rsidRDefault="0000105D" w:rsidP="0000105D">
            <w:pPr>
              <w:pStyle w:val="a9"/>
              <w:ind w:firstLine="317"/>
              <w:jc w:val="both"/>
              <w:rPr>
                <w:rFonts w:eastAsiaTheme="minorHAnsi"/>
                <w:lang w:eastAsia="en-US"/>
              </w:rPr>
            </w:pPr>
            <w:r w:rsidRPr="0000105D">
              <w:rPr>
                <w:rFonts w:eastAsiaTheme="minorHAnsi"/>
                <w:lang w:eastAsia="en-US"/>
              </w:rPr>
              <w:t xml:space="preserve">- при формировании областного бюджета на 2022 год и на плановый период 2023 и 2024 годов предусмотреть необходимый уровень финансирования реализации мероприятий по обеспечению лекарственными препаратами льготных </w:t>
            </w:r>
            <w:r w:rsidRPr="0000105D">
              <w:rPr>
                <w:rFonts w:eastAsiaTheme="minorHAnsi"/>
                <w:lang w:eastAsia="en-US"/>
              </w:rPr>
              <w:lastRenderedPageBreak/>
              <w:t>категорий граждан в полном объеме;</w:t>
            </w:r>
          </w:p>
          <w:p w:rsidR="0000105D" w:rsidRPr="0000105D" w:rsidRDefault="0000105D" w:rsidP="0000105D">
            <w:pPr>
              <w:pStyle w:val="a9"/>
              <w:ind w:firstLine="317"/>
              <w:jc w:val="both"/>
            </w:pPr>
            <w:r w:rsidRPr="0000105D">
              <w:t>- принять дополнительные действенные меры, направленные                             на устранение кадрового дефицита в системе здравоохранения Архангельской области.</w:t>
            </w:r>
          </w:p>
          <w:p w:rsidR="0000105D" w:rsidRPr="00A61175" w:rsidRDefault="0000105D" w:rsidP="00300EFF">
            <w:pPr>
              <w:pStyle w:val="2"/>
              <w:spacing w:after="0" w:line="240" w:lineRule="auto"/>
              <w:jc w:val="both"/>
            </w:pPr>
          </w:p>
        </w:tc>
      </w:tr>
      <w:tr w:rsidR="0070732A" w:rsidRPr="00B27A37" w:rsidTr="00300EFF">
        <w:tc>
          <w:tcPr>
            <w:tcW w:w="534" w:type="dxa"/>
          </w:tcPr>
          <w:p w:rsidR="0070732A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2976" w:type="dxa"/>
          </w:tcPr>
          <w:p w:rsidR="0070732A" w:rsidRPr="0070732A" w:rsidRDefault="0070732A" w:rsidP="00300EFF">
            <w:pPr>
              <w:jc w:val="both"/>
            </w:pPr>
            <w:r w:rsidRPr="0070732A">
              <w:t>Отчет о реализации в 2020 году государственных программ Архангельской области «Социальная поддержка граждан в Архангельской области» и «Содействие занятости населения Архангельской области, улучшение условий и охраны труда».</w:t>
            </w:r>
          </w:p>
        </w:tc>
        <w:tc>
          <w:tcPr>
            <w:tcW w:w="2836" w:type="dxa"/>
          </w:tcPr>
          <w:p w:rsidR="0070732A" w:rsidRPr="0070732A" w:rsidRDefault="0070732A" w:rsidP="0070732A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министр труда, занятости и социального развития Архангельской области.</w:t>
            </w:r>
          </w:p>
          <w:p w:rsidR="0070732A" w:rsidRPr="0070732A" w:rsidRDefault="0070732A" w:rsidP="00300EFF">
            <w:pPr>
              <w:pStyle w:val="ac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928CF" w:rsidRPr="00B928CF" w:rsidRDefault="00B928CF" w:rsidP="00B928CF">
            <w:pPr>
              <w:jc w:val="both"/>
              <w:rPr>
                <w:spacing w:val="-6"/>
              </w:rPr>
            </w:pPr>
            <w:r>
              <w:rPr>
                <w:spacing w:val="-12"/>
              </w:rPr>
              <w:t xml:space="preserve">   </w:t>
            </w:r>
            <w:r w:rsidRPr="00B928CF">
              <w:rPr>
                <w:spacing w:val="-12"/>
              </w:rPr>
              <w:t>Реализация мероприятий государственной программы Архангельской</w:t>
            </w:r>
            <w:r w:rsidRPr="00B928CF">
              <w:t xml:space="preserve"> </w:t>
            </w:r>
            <w:r w:rsidRPr="00B928CF">
              <w:rPr>
                <w:spacing w:val="-8"/>
              </w:rPr>
              <w:t xml:space="preserve">области </w:t>
            </w:r>
            <w:r w:rsidRPr="00B928CF">
              <w:t>«Социальная поддержка граждан в Архангельской области</w:t>
            </w:r>
            <w:r w:rsidRPr="00B928CF">
              <w:rPr>
                <w:color w:val="000000"/>
              </w:rPr>
              <w:t xml:space="preserve"> направлена на </w:t>
            </w:r>
            <w:r w:rsidRPr="00B928CF">
              <w:t>повышение уровня и качества жизни граждан, нуждающихся в социальной поддержке и социальной защите в Архангельской области</w:t>
            </w:r>
            <w:r w:rsidRPr="00E22F6A">
              <w:rPr>
                <w:sz w:val="28"/>
                <w:szCs w:val="28"/>
              </w:rPr>
              <w:t>.</w:t>
            </w:r>
            <w:r w:rsidRPr="00E22F6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928CF">
              <w:rPr>
                <w:spacing w:val="-6"/>
              </w:rPr>
              <w:t>Финансирование государственной программы «Социальная поддержка граждан в Архангельской области»</w:t>
            </w:r>
          </w:p>
          <w:p w:rsidR="00B928CF" w:rsidRPr="00B928CF" w:rsidRDefault="00B928CF" w:rsidP="00B928CF">
            <w:pPr>
              <w:jc w:val="both"/>
              <w:rPr>
                <w:spacing w:val="-6"/>
              </w:rPr>
            </w:pPr>
            <w:r w:rsidRPr="00B928CF">
              <w:rPr>
                <w:spacing w:val="-6"/>
              </w:rPr>
              <w:t>План –15 861,96 млн. руб.</w:t>
            </w:r>
          </w:p>
          <w:p w:rsidR="00B928CF" w:rsidRPr="00B928CF" w:rsidRDefault="00B928CF" w:rsidP="00B928CF">
            <w:pPr>
              <w:jc w:val="both"/>
              <w:rPr>
                <w:spacing w:val="-6"/>
              </w:rPr>
            </w:pPr>
            <w:r w:rsidRPr="00B928CF">
              <w:rPr>
                <w:spacing w:val="-6"/>
              </w:rPr>
              <w:t>Факт –15 519,95 млн. руб.</w:t>
            </w:r>
            <w:r>
              <w:rPr>
                <w:szCs w:val="28"/>
              </w:rPr>
              <w:t xml:space="preserve"> </w:t>
            </w:r>
          </w:p>
          <w:p w:rsidR="00B928CF" w:rsidRPr="00E22F6A" w:rsidRDefault="00B928CF" w:rsidP="00B928CF">
            <w:pPr>
              <w:pStyle w:val="af"/>
              <w:widowControl w:val="0"/>
              <w:ind w:left="0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gramStart"/>
            <w:r w:rsidRPr="00E22F6A">
              <w:rPr>
                <w:szCs w:val="28"/>
              </w:rPr>
              <w:t>Оценка эффективности реализации Программы в отчетном периоде (</w:t>
            </w:r>
            <w:r w:rsidRPr="00E22F6A">
              <w:rPr>
                <w:i/>
                <w:szCs w:val="28"/>
              </w:rPr>
              <w:t xml:space="preserve">произведена министерством экономического развития, промышленности и науки Архангельской области в соответствии с Положением об оценке эффективности реализации государственных программ Архангельской области, утвержденным Постановлением Правительства Архангельской </w:t>
            </w:r>
            <w:r w:rsidRPr="00E22F6A">
              <w:rPr>
                <w:i/>
                <w:szCs w:val="28"/>
              </w:rPr>
              <w:lastRenderedPageBreak/>
              <w:t>области от 10 июля 2012 года № 299-пп «О порядке разработки и реализации государственных программ Архангельской области»),</w:t>
            </w:r>
            <w:r w:rsidRPr="00E22F6A">
              <w:rPr>
                <w:szCs w:val="28"/>
              </w:rPr>
              <w:t xml:space="preserve"> составила 82,2 балла.</w:t>
            </w:r>
            <w:proofErr w:type="gramEnd"/>
            <w:r w:rsidRPr="00E22F6A">
              <w:rPr>
                <w:szCs w:val="28"/>
              </w:rPr>
              <w:t xml:space="preserve"> Эффективность реализации Программы в 2020 году признается средней.</w:t>
            </w:r>
            <w:r w:rsidRPr="00E22F6A">
              <w:rPr>
                <w:spacing w:val="-4"/>
                <w:szCs w:val="28"/>
              </w:rPr>
              <w:t xml:space="preserve"> </w:t>
            </w:r>
          </w:p>
          <w:p w:rsidR="00B928CF" w:rsidRPr="00B928CF" w:rsidRDefault="00B928CF" w:rsidP="00B928CF">
            <w:pPr>
              <w:jc w:val="both"/>
            </w:pPr>
            <w:r>
              <w:t xml:space="preserve">   </w:t>
            </w:r>
            <w:r w:rsidRPr="00B928CF">
              <w:t>На ход реализации государственной программы в отчетном периоде повлияли следующие факторы:</w:t>
            </w:r>
          </w:p>
          <w:p w:rsidR="00B928CF" w:rsidRPr="00E22F6A" w:rsidRDefault="00B928CF" w:rsidP="00B928CF">
            <w:pPr>
              <w:pStyle w:val="af"/>
              <w:widowControl w:val="0"/>
              <w:ind w:left="0"/>
              <w:jc w:val="both"/>
              <w:rPr>
                <w:szCs w:val="28"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>
              <w:rPr>
                <w:spacing w:val="-4"/>
              </w:rPr>
              <w:t xml:space="preserve">- </w:t>
            </w:r>
            <w:r w:rsidRPr="00B928CF">
              <w:rPr>
                <w:spacing w:val="-4"/>
              </w:rPr>
              <w:t xml:space="preserve">введение </w:t>
            </w:r>
            <w:r w:rsidRPr="00B928CF">
              <w:t xml:space="preserve">указом Губернатора Архангельской области от 17 марта </w:t>
            </w:r>
            <w:r w:rsidRPr="00B928CF">
              <w:br/>
              <w:t xml:space="preserve">2020 г. № 28-у </w:t>
            </w:r>
            <w:r w:rsidRPr="00B928CF">
              <w:rPr>
                <w:spacing w:val="-4"/>
              </w:rPr>
              <w:t xml:space="preserve">ограничительных мероприятий в результате сложившейся неблагоприятной эпидемиологической обстановки по новой </w:t>
            </w:r>
            <w:proofErr w:type="spellStart"/>
            <w:r w:rsidRPr="00B928CF">
              <w:rPr>
                <w:spacing w:val="-4"/>
              </w:rPr>
              <w:t>коронавирусной</w:t>
            </w:r>
            <w:proofErr w:type="spellEnd"/>
            <w:r w:rsidRPr="00B928CF">
              <w:rPr>
                <w:spacing w:val="-4"/>
              </w:rPr>
              <w:t xml:space="preserve"> инфекции (COVID-2019)</w:t>
            </w:r>
            <w:r w:rsidRPr="00E22F6A">
              <w:rPr>
                <w:spacing w:val="-4"/>
                <w:szCs w:val="28"/>
              </w:rPr>
              <w:t xml:space="preserve"> существенно повлияло на исполнение мероприятий подпрограммы № 2 и подпрограммы № 4, а также на</w:t>
            </w:r>
            <w:r w:rsidRPr="00E22F6A">
              <w:rPr>
                <w:szCs w:val="28"/>
              </w:rPr>
              <w:t xml:space="preserve"> ряда целевых показателей государственной программы;</w:t>
            </w:r>
            <w:proofErr w:type="gramEnd"/>
          </w:p>
          <w:p w:rsidR="00B928CF" w:rsidRPr="00E22F6A" w:rsidRDefault="00B928CF" w:rsidP="00B928CF">
            <w:pPr>
              <w:pStyle w:val="af"/>
              <w:widowControl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gramStart"/>
            <w:r>
              <w:rPr>
                <w:szCs w:val="28"/>
              </w:rPr>
              <w:t xml:space="preserve">- </w:t>
            </w:r>
            <w:r w:rsidRPr="00E22F6A">
              <w:rPr>
                <w:szCs w:val="28"/>
              </w:rPr>
              <w:t xml:space="preserve">сокращение численности женщин фертильного возраста, откладывание времени рождения первых детей женщинами в более раннем возрасте </w:t>
            </w:r>
            <w:r w:rsidRPr="00E22F6A">
              <w:rPr>
                <w:szCs w:val="28"/>
              </w:rPr>
              <w:br/>
              <w:t xml:space="preserve">и соответственно снижение возможности рождения ими вторых </w:t>
            </w:r>
            <w:r w:rsidRPr="00E22F6A">
              <w:rPr>
                <w:szCs w:val="28"/>
              </w:rPr>
              <w:br/>
              <w:t xml:space="preserve">и последующих детей, миграционный отток населения, в первую очередь молодежи, в другие субъекты Российской Федерации и за ее пределы оказали влияние на фактическое достижение значений показателей, характеризующих </w:t>
            </w:r>
            <w:r w:rsidRPr="00E22F6A">
              <w:rPr>
                <w:szCs w:val="28"/>
              </w:rPr>
              <w:lastRenderedPageBreak/>
              <w:t xml:space="preserve">суммарные и возрастные коэффициенты рождаемости. </w:t>
            </w:r>
            <w:proofErr w:type="gramEnd"/>
          </w:p>
          <w:p w:rsidR="00125550" w:rsidRDefault="00125550" w:rsidP="00125550">
            <w:pPr>
              <w:pStyle w:val="af"/>
              <w:ind w:left="0"/>
              <w:jc w:val="both"/>
            </w:pPr>
            <w:r>
              <w:t xml:space="preserve">   </w:t>
            </w:r>
          </w:p>
          <w:p w:rsidR="00125550" w:rsidRPr="00125550" w:rsidRDefault="00125550" w:rsidP="00125550">
            <w:pPr>
              <w:pStyle w:val="af"/>
              <w:ind w:left="0"/>
              <w:jc w:val="both"/>
            </w:pPr>
            <w:r>
              <w:t xml:space="preserve">   </w:t>
            </w:r>
            <w:proofErr w:type="gramStart"/>
            <w:r w:rsidRPr="00125550">
              <w:t xml:space="preserve">Всего на реализацию государственной программы </w:t>
            </w:r>
            <w:r w:rsidRPr="00221E75">
              <w:rPr>
                <w:szCs w:val="28"/>
              </w:rPr>
              <w:t xml:space="preserve">«Содействие занятости населения Архангельской области, улучшение условий и охраны труда» </w:t>
            </w:r>
            <w:r w:rsidRPr="00125550">
              <w:t xml:space="preserve">было </w:t>
            </w:r>
            <w:r>
              <w:t xml:space="preserve">предусмотрено </w:t>
            </w:r>
            <w:r w:rsidRPr="00125550">
              <w:t xml:space="preserve">2 739,8 млн. рублей, в том числе средства областного бюджета – 491,2 млн. рублей, федерального бюджета – 1 867,3 млн. рублей, внебюджетных источников – 381,3 млн. рублей </w:t>
            </w:r>
            <w:r w:rsidRPr="00125550">
              <w:rPr>
                <w:i/>
              </w:rPr>
              <w:t>(в том числе 375,9 млн. рублей – средства Фонда социального страхования Российской Федерации, 5,4 млн. рублей – средства работодателя АО «ПО</w:t>
            </w:r>
            <w:proofErr w:type="gramEnd"/>
            <w:r w:rsidRPr="00125550">
              <w:rPr>
                <w:i/>
              </w:rPr>
              <w:t xml:space="preserve"> «</w:t>
            </w:r>
            <w:proofErr w:type="spellStart"/>
            <w:proofErr w:type="gramStart"/>
            <w:r w:rsidRPr="00125550">
              <w:rPr>
                <w:i/>
              </w:rPr>
              <w:t>Севмаш</w:t>
            </w:r>
            <w:proofErr w:type="spellEnd"/>
            <w:r w:rsidRPr="00125550">
              <w:rPr>
                <w:i/>
              </w:rPr>
              <w:t>»).</w:t>
            </w:r>
            <w:proofErr w:type="gramEnd"/>
            <w:r w:rsidRPr="00125550">
              <w:t xml:space="preserve"> </w:t>
            </w:r>
            <w:proofErr w:type="gramStart"/>
            <w:r w:rsidRPr="00125550">
              <w:t xml:space="preserve">Фактические расходы составили 2 668,8 млн. рублей, в том числе средства областного бюджета – 475,2 млн. рублей, федерального бюджета – 1 835,3 млн. рублей, внебюджетные источники – 358,3 млн. рублей </w:t>
            </w:r>
            <w:r w:rsidRPr="00125550">
              <w:rPr>
                <w:i/>
              </w:rPr>
              <w:t xml:space="preserve">(в том числе 355,2 млн. рублей – средства Фонда социального страхования Российской Федерации, 3,1 млн. рублей – средства работодателя </w:t>
            </w:r>
            <w:r w:rsidRPr="00125550">
              <w:rPr>
                <w:i/>
              </w:rPr>
              <w:br/>
              <w:t>АО «ПО «</w:t>
            </w:r>
            <w:proofErr w:type="spellStart"/>
            <w:r w:rsidRPr="00125550">
              <w:rPr>
                <w:i/>
              </w:rPr>
              <w:t>Севмаш</w:t>
            </w:r>
            <w:proofErr w:type="spellEnd"/>
            <w:r w:rsidRPr="00125550">
              <w:rPr>
                <w:i/>
              </w:rPr>
              <w:t>»)</w:t>
            </w:r>
            <w:r w:rsidRPr="00125550">
              <w:t xml:space="preserve">. </w:t>
            </w:r>
            <w:proofErr w:type="gramEnd"/>
          </w:p>
          <w:p w:rsidR="00125550" w:rsidRPr="00125550" w:rsidRDefault="00125550" w:rsidP="00125550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5550">
              <w:rPr>
                <w:rFonts w:ascii="Times New Roman" w:hAnsi="Times New Roman" w:cs="Times New Roman"/>
                <w:sz w:val="24"/>
                <w:szCs w:val="24"/>
              </w:rPr>
              <w:t xml:space="preserve">В объективно сложившихся в 2020 году напряженных условиях работы, численность участников мероприятий активной политики занятости незначительно сократилась по сравнению с показателями 2019 года. </w:t>
            </w:r>
            <w:r w:rsidRPr="001255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отмечено </w:t>
            </w:r>
            <w:proofErr w:type="spellStart"/>
            <w:r w:rsidRPr="00125550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125550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по уровню доступности государственных услуг, установленных к числу граждан, обратившихся в службу занятости и признанных безработными, численность которых более чем в два раза превысила показатели предыдущего года. </w:t>
            </w:r>
          </w:p>
          <w:p w:rsidR="00125550" w:rsidRPr="00125550" w:rsidRDefault="00125550" w:rsidP="00125550">
            <w:pPr>
              <w:pStyle w:val="a9"/>
              <w:jc w:val="both"/>
            </w:pPr>
            <w:r>
              <w:t xml:space="preserve">   </w:t>
            </w:r>
            <w:r w:rsidRPr="00125550">
              <w:t xml:space="preserve">Из 46 целевых показателей Программы в отчетном периоде достигнуты </w:t>
            </w:r>
            <w:r w:rsidRPr="00125550">
              <w:br/>
              <w:t>на 100 и более процентов 23 показателя, от 90 до 100 процентов – семь показателей, менее 80 процентов – 16 показателей.</w:t>
            </w:r>
          </w:p>
          <w:p w:rsidR="00125550" w:rsidRPr="00125550" w:rsidRDefault="00125550" w:rsidP="00125550">
            <w:pPr>
              <w:jc w:val="both"/>
            </w:pPr>
            <w:r>
              <w:t xml:space="preserve">   </w:t>
            </w:r>
            <w:r w:rsidRPr="00125550">
              <w:t>В результате реализации государственной программы:</w:t>
            </w:r>
          </w:p>
          <w:p w:rsidR="00125550" w:rsidRPr="00125550" w:rsidRDefault="00125550" w:rsidP="00125550">
            <w:pPr>
              <w:jc w:val="both"/>
              <w:rPr>
                <w:highlight w:val="green"/>
              </w:rPr>
            </w:pPr>
            <w:r w:rsidRPr="00125550">
              <w:t>Уровень выполнения мероприятий Программы составил 8</w:t>
            </w:r>
            <w:bookmarkStart w:id="0" w:name="_GoBack"/>
            <w:bookmarkEnd w:id="0"/>
            <w:r w:rsidRPr="00125550">
              <w:t>8 процентов.</w:t>
            </w:r>
          </w:p>
          <w:p w:rsidR="00125550" w:rsidRPr="00125550" w:rsidRDefault="00125550" w:rsidP="00125550">
            <w:pPr>
              <w:jc w:val="both"/>
            </w:pPr>
            <w:r w:rsidRPr="00125550">
              <w:t>Степень достижения целевых показателей – 82 процента.</w:t>
            </w:r>
          </w:p>
          <w:p w:rsidR="00125550" w:rsidRPr="00125550" w:rsidRDefault="00125550" w:rsidP="00125550">
            <w:pPr>
              <w:jc w:val="both"/>
            </w:pPr>
            <w:r w:rsidRPr="00125550">
              <w:t>Уровень расходования финансовых средств – 97 процентов.</w:t>
            </w:r>
          </w:p>
          <w:p w:rsidR="00125550" w:rsidRPr="00125550" w:rsidRDefault="00125550" w:rsidP="00125550">
            <w:pPr>
              <w:spacing w:line="216" w:lineRule="auto"/>
              <w:jc w:val="both"/>
            </w:pPr>
            <w:r>
              <w:t xml:space="preserve">   </w:t>
            </w:r>
            <w:r w:rsidRPr="00125550">
              <w:t xml:space="preserve">В целом по государственной программе оценка эффективности реализации составила 85,4 процента, эффективность оценивается как средняя. </w:t>
            </w:r>
          </w:p>
          <w:p w:rsidR="0070732A" w:rsidRPr="001C6534" w:rsidRDefault="0070732A" w:rsidP="00300EFF">
            <w:pPr>
              <w:jc w:val="both"/>
            </w:pPr>
          </w:p>
        </w:tc>
        <w:tc>
          <w:tcPr>
            <w:tcW w:w="2268" w:type="dxa"/>
          </w:tcPr>
          <w:p w:rsidR="0070732A" w:rsidRPr="00A61175" w:rsidRDefault="004C13D5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B928CF" w:rsidRPr="00A61175" w:rsidRDefault="00B928CF" w:rsidP="00300EFF">
            <w:pPr>
              <w:pStyle w:val="2"/>
              <w:spacing w:after="0" w:line="240" w:lineRule="auto"/>
              <w:jc w:val="both"/>
            </w:pPr>
            <w:r>
              <w:t>Информацию принять к сведению.</w:t>
            </w:r>
          </w:p>
        </w:tc>
      </w:tr>
      <w:tr w:rsidR="0070732A" w:rsidRPr="00B27A37" w:rsidTr="00300EFF">
        <w:tc>
          <w:tcPr>
            <w:tcW w:w="534" w:type="dxa"/>
          </w:tcPr>
          <w:p w:rsidR="0070732A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70732A" w:rsidRPr="0070732A" w:rsidRDefault="0070732A" w:rsidP="00300EFF">
            <w:pPr>
              <w:jc w:val="both"/>
            </w:pPr>
            <w:r w:rsidRPr="0070732A">
              <w:t xml:space="preserve">О проекте областного закона № пз7/622 «О внесении изменений в статьи 22.1 и 29 областного закона «О социальной поддержке семей, воспитывающих детей, в Архангельской </w:t>
            </w:r>
            <w:r w:rsidRPr="0070732A">
              <w:lastRenderedPageBreak/>
              <w:t>области».</w:t>
            </w:r>
          </w:p>
        </w:tc>
        <w:tc>
          <w:tcPr>
            <w:tcW w:w="2836" w:type="dxa"/>
          </w:tcPr>
          <w:p w:rsidR="0070732A" w:rsidRDefault="0070732A" w:rsidP="0070732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Ини</w:t>
            </w:r>
            <w:r w:rsidR="004C13D5">
              <w:rPr>
                <w:b/>
              </w:rPr>
              <w:t>циатор внесения:</w:t>
            </w:r>
            <w:r w:rsidR="004C13D5">
              <w:rPr>
                <w:szCs w:val="28"/>
              </w:rPr>
              <w:t xml:space="preserve"> исполняющий обязанности Губернатора</w:t>
            </w:r>
            <w:r w:rsidR="004C13D5" w:rsidRPr="00C956A6">
              <w:rPr>
                <w:szCs w:val="28"/>
              </w:rPr>
              <w:t xml:space="preserve"> Архангельской области</w:t>
            </w:r>
            <w:r w:rsidR="004C13D5">
              <w:rPr>
                <w:szCs w:val="28"/>
              </w:rPr>
              <w:t xml:space="preserve"> Петросян В.С.</w:t>
            </w:r>
          </w:p>
          <w:p w:rsidR="0070732A" w:rsidRPr="0070732A" w:rsidRDefault="0070732A" w:rsidP="0070732A">
            <w:pPr>
              <w:jc w:val="both"/>
              <w:rPr>
                <w:b/>
              </w:rPr>
            </w:pPr>
            <w:r w:rsidRPr="0070732A">
              <w:rPr>
                <w:b/>
              </w:rPr>
              <w:t>Докладчик:</w:t>
            </w:r>
            <w:r w:rsidRPr="0070732A">
              <w:t xml:space="preserve"> Свиридов Сергей Анатольевич – </w:t>
            </w:r>
            <w:r w:rsidRPr="0070732A">
              <w:lastRenderedPageBreak/>
              <w:t>министр труда, занятости и социального развития Архангельской области.</w:t>
            </w:r>
          </w:p>
          <w:p w:rsidR="0070732A" w:rsidRPr="0070732A" w:rsidRDefault="0070732A" w:rsidP="00300EF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C13D5" w:rsidRPr="004C13D5" w:rsidRDefault="004C13D5" w:rsidP="004C13D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color w:val="000000"/>
                <w:lang w:bidi="ru-RU"/>
              </w:rPr>
              <w:lastRenderedPageBreak/>
              <w:t xml:space="preserve">   </w:t>
            </w:r>
            <w:r w:rsidRPr="004C13D5">
              <w:rPr>
                <w:color w:val="000000" w:themeColor="text1"/>
              </w:rPr>
              <w:t>Законопроект разработан в целях совершенствования механизма поддержки семей, воспитывающих детей, стимулирования рождения первых детей, женщинами в возрасте от 18 до 25 лет, а также улучшения демографической ситуации на территории Архангельской области.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</w:t>
            </w:r>
            <w:r w:rsidRPr="004C13D5">
              <w:rPr>
                <w:color w:val="000000" w:themeColor="text1"/>
              </w:rPr>
              <w:t xml:space="preserve">1. Законопроектом предлагается установить с 1 января 2022 года дифференцированные размеры денежной выплаты многодетным семьям взамен предоставления им земельного участка в собственность бесплатно (далее – денежная выплата) в зависимости от количества детей в таких семьях. 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C13D5">
              <w:rPr>
                <w:color w:val="000000" w:themeColor="text1"/>
              </w:rPr>
              <w:t>Согласно законопроекту размеры денежной выплаты составят: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C13D5">
              <w:rPr>
                <w:color w:val="000000" w:themeColor="text1"/>
              </w:rPr>
              <w:t>для многодетных семей, имеющих в своем составе трех несовершеннолетних детей, – в размере 210 тысяч рублей;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C13D5">
              <w:rPr>
                <w:color w:val="000000" w:themeColor="text1"/>
              </w:rPr>
              <w:t>для многодетных семей, имеющих в своем составе четырех несовершеннолетних детей, – в размере 260 тысяч рублей;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C13D5">
              <w:rPr>
                <w:color w:val="000000" w:themeColor="text1"/>
              </w:rPr>
              <w:t>для многодетных семей, имеющих в своем составе пять и более несовершеннолетних детей, – в размере 310 тысяч рублей.</w:t>
            </w:r>
          </w:p>
          <w:p w:rsidR="004C13D5" w:rsidRPr="004C13D5" w:rsidRDefault="004C13D5" w:rsidP="004C13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4C13D5">
              <w:rPr>
                <w:color w:val="000000" w:themeColor="text1"/>
              </w:rPr>
              <w:t>2. Законопроектом предлагается продлить срок предоставления единовременной денежной выплаты женщинам, родившим первого ребенка в возрасте от 18 до 25 лет включительно с 31 декабря 2021 года до 31 декабря 2026 года.</w:t>
            </w:r>
          </w:p>
          <w:p w:rsidR="0070732A" w:rsidRPr="001C6534" w:rsidRDefault="0070732A" w:rsidP="0070732A">
            <w:pPr>
              <w:pStyle w:val="1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8" w:type="dxa"/>
          </w:tcPr>
          <w:p w:rsidR="0070732A" w:rsidRPr="009875C5" w:rsidRDefault="0070732A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70732A" w:rsidRDefault="0070732A" w:rsidP="00300EFF">
            <w:pPr>
              <w:pStyle w:val="a9"/>
              <w:jc w:val="both"/>
            </w:pPr>
            <w:r>
              <w:t>Решили:</w:t>
            </w:r>
          </w:p>
          <w:p w:rsidR="004C13D5" w:rsidRDefault="004C13D5" w:rsidP="00300EFF">
            <w:pPr>
              <w:pStyle w:val="a9"/>
              <w:jc w:val="both"/>
            </w:pPr>
            <w:r>
              <w:rPr>
                <w:szCs w:val="28"/>
              </w:rPr>
              <w:t xml:space="preserve">На основании </w:t>
            </w:r>
            <w:r w:rsidRPr="005E0E4C">
              <w:rPr>
                <w:szCs w:val="28"/>
              </w:rPr>
              <w:t xml:space="preserve">дефиса первого абзаца второго пункта 2 статьи </w:t>
            </w:r>
            <w:r>
              <w:rPr>
                <w:szCs w:val="28"/>
              </w:rPr>
              <w:t xml:space="preserve">                  16 областного закона № 62-8-ОЗ </w:t>
            </w:r>
            <w:r w:rsidRPr="005E0E4C">
              <w:rPr>
                <w:szCs w:val="28"/>
              </w:rPr>
              <w:t xml:space="preserve">«О порядке разработки, принятия </w:t>
            </w:r>
            <w:r>
              <w:rPr>
                <w:szCs w:val="28"/>
              </w:rPr>
              <w:t xml:space="preserve">                      </w:t>
            </w:r>
            <w:r w:rsidRPr="005E0E4C">
              <w:rPr>
                <w:szCs w:val="28"/>
              </w:rPr>
              <w:t xml:space="preserve">и вступления в силу </w:t>
            </w:r>
            <w:r w:rsidRPr="005E0E4C">
              <w:rPr>
                <w:szCs w:val="28"/>
              </w:rPr>
              <w:lastRenderedPageBreak/>
              <w:t>законов Архангельской области»</w:t>
            </w:r>
            <w:r>
              <w:rPr>
                <w:szCs w:val="28"/>
              </w:rPr>
              <w:t xml:space="preserve"> предложить</w:t>
            </w:r>
            <w:r w:rsidRPr="008069D0">
              <w:rPr>
                <w:szCs w:val="28"/>
              </w:rPr>
              <w:t xml:space="preserve"> депутатам областного Собрания депутатов данный проект областного закона принять в </w:t>
            </w:r>
            <w:r>
              <w:rPr>
                <w:szCs w:val="28"/>
              </w:rPr>
              <w:t>первом и во втором</w:t>
            </w:r>
            <w:r w:rsidRPr="00AE1AFC">
              <w:rPr>
                <w:szCs w:val="28"/>
              </w:rPr>
              <w:t xml:space="preserve"> чтениях</w:t>
            </w:r>
            <w:r>
              <w:rPr>
                <w:szCs w:val="28"/>
              </w:rPr>
              <w:t xml:space="preserve"> на очередной двадцать седьмой сессии Архангельского областного Собрания депутатов.</w:t>
            </w:r>
          </w:p>
          <w:p w:rsidR="0070732A" w:rsidRPr="001C6534" w:rsidRDefault="0070732A" w:rsidP="00300EFF">
            <w:pPr>
              <w:pStyle w:val="a9"/>
              <w:jc w:val="both"/>
            </w:pPr>
          </w:p>
        </w:tc>
      </w:tr>
      <w:tr w:rsidR="0070732A" w:rsidRPr="00B27A37" w:rsidTr="00300EFF">
        <w:tc>
          <w:tcPr>
            <w:tcW w:w="534" w:type="dxa"/>
          </w:tcPr>
          <w:p w:rsidR="0070732A" w:rsidRDefault="0070732A" w:rsidP="0030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70732A" w:rsidRPr="00834FB3" w:rsidRDefault="0070732A" w:rsidP="00300EFF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70732A" w:rsidRPr="00BA7EB3" w:rsidRDefault="0070732A" w:rsidP="00300EFF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70732A" w:rsidRPr="00801659" w:rsidRDefault="0070732A" w:rsidP="00300EFF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70732A" w:rsidRPr="00BA7EB3" w:rsidRDefault="0070732A" w:rsidP="00300EFF">
            <w:pPr>
              <w:jc w:val="both"/>
            </w:pPr>
          </w:p>
        </w:tc>
        <w:tc>
          <w:tcPr>
            <w:tcW w:w="2268" w:type="dxa"/>
          </w:tcPr>
          <w:p w:rsidR="0070732A" w:rsidRPr="003206AE" w:rsidRDefault="0070732A" w:rsidP="00300E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70732A" w:rsidRPr="00E530F6" w:rsidRDefault="0070732A" w:rsidP="00300EFF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Кныш Т.Б.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Окулову Н.А.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lastRenderedPageBreak/>
              <w:t>Малову Е.А.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Шмакову Т.Л.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Городецкую Е.В.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Пилюгину М.К.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Ядрихинскую Н.А.</w:t>
            </w:r>
          </w:p>
          <w:p w:rsidR="0070732A" w:rsidRDefault="0070732A" w:rsidP="00300EFF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70732A" w:rsidRPr="00B90912" w:rsidRDefault="0070732A" w:rsidP="0070732A">
            <w:pPr>
              <w:pStyle w:val="2"/>
              <w:spacing w:after="0" w:line="240" w:lineRule="auto"/>
              <w:jc w:val="both"/>
            </w:pPr>
            <w:r>
              <w:t>Баженовой Е.М.</w:t>
            </w:r>
          </w:p>
        </w:tc>
      </w:tr>
    </w:tbl>
    <w:p w:rsidR="0070732A" w:rsidRDefault="0070732A" w:rsidP="0070732A"/>
    <w:p w:rsidR="00425563" w:rsidRDefault="00425563"/>
    <w:sectPr w:rsidR="00425563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0F" w:rsidRDefault="00CD250F" w:rsidP="003A4054">
      <w:r>
        <w:separator/>
      </w:r>
    </w:p>
  </w:endnote>
  <w:endnote w:type="continuationSeparator" w:id="0">
    <w:p w:rsidR="00CD250F" w:rsidRDefault="00CD250F" w:rsidP="003A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0F" w:rsidRDefault="00CD250F" w:rsidP="003A4054">
      <w:r>
        <w:separator/>
      </w:r>
    </w:p>
  </w:footnote>
  <w:footnote w:type="continuationSeparator" w:id="0">
    <w:p w:rsidR="00CD250F" w:rsidRDefault="00CD250F" w:rsidP="003A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2020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13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C3B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2020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13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B2A">
      <w:rPr>
        <w:rStyle w:val="a7"/>
        <w:noProof/>
      </w:rPr>
      <w:t>9</w:t>
    </w:r>
    <w:r>
      <w:rPr>
        <w:rStyle w:val="a7"/>
      </w:rPr>
      <w:fldChar w:fldCharType="end"/>
    </w:r>
  </w:p>
  <w:p w:rsidR="00C52032" w:rsidRDefault="00BC3B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320"/>
    <w:multiLevelType w:val="hybridMultilevel"/>
    <w:tmpl w:val="DD8E0BF2"/>
    <w:lvl w:ilvl="0" w:tplc="2EFA8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32A"/>
    <w:rsid w:val="0000105D"/>
    <w:rsid w:val="00002AE7"/>
    <w:rsid w:val="00006877"/>
    <w:rsid w:val="000075AB"/>
    <w:rsid w:val="00017226"/>
    <w:rsid w:val="00046286"/>
    <w:rsid w:val="00053FB0"/>
    <w:rsid w:val="00064D36"/>
    <w:rsid w:val="000D7952"/>
    <w:rsid w:val="00103694"/>
    <w:rsid w:val="0010372B"/>
    <w:rsid w:val="00125550"/>
    <w:rsid w:val="001500A8"/>
    <w:rsid w:val="00154212"/>
    <w:rsid w:val="00156EAB"/>
    <w:rsid w:val="00160529"/>
    <w:rsid w:val="00174931"/>
    <w:rsid w:val="001D388B"/>
    <w:rsid w:val="001F7EAB"/>
    <w:rsid w:val="0020498F"/>
    <w:rsid w:val="00226F18"/>
    <w:rsid w:val="00286DE0"/>
    <w:rsid w:val="002C5182"/>
    <w:rsid w:val="00326033"/>
    <w:rsid w:val="0033283C"/>
    <w:rsid w:val="0033422C"/>
    <w:rsid w:val="00344DDA"/>
    <w:rsid w:val="003763B0"/>
    <w:rsid w:val="003A4054"/>
    <w:rsid w:val="003A4EA4"/>
    <w:rsid w:val="003D0D23"/>
    <w:rsid w:val="003D61CF"/>
    <w:rsid w:val="00425563"/>
    <w:rsid w:val="00427148"/>
    <w:rsid w:val="004429C7"/>
    <w:rsid w:val="00460EB8"/>
    <w:rsid w:val="00496B3A"/>
    <w:rsid w:val="004A7910"/>
    <w:rsid w:val="004C13D5"/>
    <w:rsid w:val="004C5942"/>
    <w:rsid w:val="005210ED"/>
    <w:rsid w:val="005673F2"/>
    <w:rsid w:val="00594533"/>
    <w:rsid w:val="00595595"/>
    <w:rsid w:val="00603AE1"/>
    <w:rsid w:val="006043F2"/>
    <w:rsid w:val="00611940"/>
    <w:rsid w:val="0062020D"/>
    <w:rsid w:val="006604A7"/>
    <w:rsid w:val="0066375A"/>
    <w:rsid w:val="006775BB"/>
    <w:rsid w:val="006C561D"/>
    <w:rsid w:val="006E6F99"/>
    <w:rsid w:val="007025EE"/>
    <w:rsid w:val="00707019"/>
    <w:rsid w:val="0070732A"/>
    <w:rsid w:val="007218C3"/>
    <w:rsid w:val="007243FD"/>
    <w:rsid w:val="007366C4"/>
    <w:rsid w:val="0075305B"/>
    <w:rsid w:val="007545E1"/>
    <w:rsid w:val="007918C8"/>
    <w:rsid w:val="007C5F25"/>
    <w:rsid w:val="00827821"/>
    <w:rsid w:val="008C0D43"/>
    <w:rsid w:val="008F456A"/>
    <w:rsid w:val="00A36FD2"/>
    <w:rsid w:val="00AB5C01"/>
    <w:rsid w:val="00AD1113"/>
    <w:rsid w:val="00AD50D7"/>
    <w:rsid w:val="00B15FF0"/>
    <w:rsid w:val="00B40228"/>
    <w:rsid w:val="00B67AC3"/>
    <w:rsid w:val="00B77C0D"/>
    <w:rsid w:val="00B91A8B"/>
    <w:rsid w:val="00B928CF"/>
    <w:rsid w:val="00BB0461"/>
    <w:rsid w:val="00BC3B2A"/>
    <w:rsid w:val="00BC407A"/>
    <w:rsid w:val="00BD3CD9"/>
    <w:rsid w:val="00C04EF8"/>
    <w:rsid w:val="00C400EB"/>
    <w:rsid w:val="00C505E7"/>
    <w:rsid w:val="00C52F04"/>
    <w:rsid w:val="00CB3763"/>
    <w:rsid w:val="00CD250F"/>
    <w:rsid w:val="00D312E2"/>
    <w:rsid w:val="00D3463C"/>
    <w:rsid w:val="00D754BB"/>
    <w:rsid w:val="00DA4DD1"/>
    <w:rsid w:val="00DA7586"/>
    <w:rsid w:val="00DC07F4"/>
    <w:rsid w:val="00DD5729"/>
    <w:rsid w:val="00E8551D"/>
    <w:rsid w:val="00EA3467"/>
    <w:rsid w:val="00EC2676"/>
    <w:rsid w:val="00EE56AC"/>
    <w:rsid w:val="00EE58CD"/>
    <w:rsid w:val="00F12543"/>
    <w:rsid w:val="00F348AA"/>
    <w:rsid w:val="00F44BC5"/>
    <w:rsid w:val="00F469BE"/>
    <w:rsid w:val="00F96E86"/>
    <w:rsid w:val="00FA1ECC"/>
    <w:rsid w:val="00FB0222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0732A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073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732A"/>
  </w:style>
  <w:style w:type="paragraph" w:styleId="2">
    <w:name w:val="Body Text 2"/>
    <w:basedOn w:val="a"/>
    <w:link w:val="20"/>
    <w:uiPriority w:val="99"/>
    <w:unhideWhenUsed/>
    <w:rsid w:val="00707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7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073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7073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70732A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link w:val="aa"/>
    <w:uiPriority w:val="1"/>
    <w:qFormat/>
    <w:rsid w:val="0070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й стиль"/>
    <w:basedOn w:val="a"/>
    <w:rsid w:val="0070732A"/>
    <w:pPr>
      <w:ind w:firstLine="709"/>
      <w:jc w:val="both"/>
    </w:pPr>
    <w:rPr>
      <w:sz w:val="28"/>
      <w:szCs w:val="20"/>
    </w:rPr>
  </w:style>
  <w:style w:type="paragraph" w:styleId="ac">
    <w:name w:val="Plain Text"/>
    <w:basedOn w:val="a"/>
    <w:link w:val="ad"/>
    <w:uiPriority w:val="99"/>
    <w:unhideWhenUsed/>
    <w:rsid w:val="0070732A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0732A"/>
    <w:rPr>
      <w:rFonts w:ascii="Consolas" w:eastAsia="Calibri" w:hAnsi="Consolas" w:cs="Times New Roman"/>
      <w:sz w:val="21"/>
      <w:szCs w:val="21"/>
    </w:rPr>
  </w:style>
  <w:style w:type="paragraph" w:styleId="ae">
    <w:name w:val="Normal (Web)"/>
    <w:aliases w:val="Обычный (веб) Знак"/>
    <w:basedOn w:val="a"/>
    <w:link w:val="10"/>
    <w:rsid w:val="0070732A"/>
  </w:style>
  <w:style w:type="character" w:customStyle="1" w:styleId="10">
    <w:name w:val="Обычный (веб) Знак1"/>
    <w:aliases w:val="Обычный (веб) Знак Знак"/>
    <w:link w:val="ae"/>
    <w:locked/>
    <w:rsid w:val="0070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73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">
    <w:name w:val="List Paragraph"/>
    <w:aliases w:val="ПАРАГРАФ,Абзац списка11"/>
    <w:basedOn w:val="a"/>
    <w:link w:val="af0"/>
    <w:uiPriority w:val="34"/>
    <w:qFormat/>
    <w:rsid w:val="0000105D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001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ПАРАГРАФ Знак,Абзац списка11 Знак"/>
    <w:link w:val="af"/>
    <w:uiPriority w:val="34"/>
    <w:locked/>
    <w:rsid w:val="00B92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5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E332-F24D-40E6-B743-79F820D5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4</cp:revision>
  <dcterms:created xsi:type="dcterms:W3CDTF">2021-06-21T08:07:00Z</dcterms:created>
  <dcterms:modified xsi:type="dcterms:W3CDTF">2021-06-21T12:19:00Z</dcterms:modified>
</cp:coreProperties>
</file>