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E4" w:rsidRDefault="003F1EE4" w:rsidP="003F1EE4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3F1EE4" w:rsidRPr="00D10BDD" w:rsidRDefault="003F1EE4" w:rsidP="003F1EE4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3F1EE4" w:rsidRDefault="003F1EE4" w:rsidP="003F1EE4">
      <w:pPr>
        <w:pStyle w:val="a3"/>
        <w:ind w:firstLine="11700"/>
        <w:rPr>
          <w:b/>
          <w:sz w:val="24"/>
          <w:szCs w:val="24"/>
        </w:rPr>
      </w:pPr>
    </w:p>
    <w:p w:rsidR="003F1EE4" w:rsidRPr="00D10BDD" w:rsidRDefault="003F1EE4" w:rsidP="003F1EE4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«10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2022</w:t>
      </w:r>
      <w:r w:rsidRPr="00D10BDD">
        <w:rPr>
          <w:sz w:val="24"/>
          <w:szCs w:val="24"/>
        </w:rPr>
        <w:t xml:space="preserve"> года</w:t>
      </w:r>
    </w:p>
    <w:p w:rsidR="003F1EE4" w:rsidRPr="00D10BDD" w:rsidRDefault="003F1EE4" w:rsidP="003F1EE4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3F1EE4" w:rsidRDefault="003F1EE4" w:rsidP="003F1EE4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3F1EE4" w:rsidRDefault="003F1EE4" w:rsidP="003F1EE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3F1EE4" w:rsidRPr="00100F79" w:rsidRDefault="003F1EE4" w:rsidP="003F1EE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3F1EE4" w:rsidRDefault="003F1EE4" w:rsidP="003F1EE4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3F1EE4" w:rsidTr="00800D5F">
        <w:tc>
          <w:tcPr>
            <w:tcW w:w="534" w:type="dxa"/>
            <w:vAlign w:val="center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3F1EE4" w:rsidRPr="005366CD" w:rsidRDefault="003F1EE4" w:rsidP="00800D5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3F1EE4" w:rsidRDefault="003F1EE4" w:rsidP="00800D5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3F1EE4" w:rsidRPr="007F1B93" w:rsidRDefault="003F1EE4" w:rsidP="00800D5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3F1EE4" w:rsidRDefault="003F1EE4" w:rsidP="00800D5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3F1EE4" w:rsidRPr="007F1B93" w:rsidRDefault="003F1EE4" w:rsidP="00800D5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3F1EE4" w:rsidRPr="005366CD" w:rsidRDefault="003F1EE4" w:rsidP="00800D5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F1EE4" w:rsidRPr="00B27A37" w:rsidTr="00800D5F">
        <w:tc>
          <w:tcPr>
            <w:tcW w:w="534" w:type="dxa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F1EE4" w:rsidRPr="005366CD" w:rsidRDefault="003F1EE4" w:rsidP="00800D5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3F1EE4" w:rsidRPr="00EE4528" w:rsidRDefault="003F1EE4" w:rsidP="00800D5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F1EE4" w:rsidRPr="005366CD" w:rsidRDefault="003F1EE4" w:rsidP="00800D5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F1EE4" w:rsidRPr="00B27A37" w:rsidTr="00800D5F">
        <w:tc>
          <w:tcPr>
            <w:tcW w:w="534" w:type="dxa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F1EE4" w:rsidRPr="00D144BC" w:rsidRDefault="00890A3C" w:rsidP="00890A3C">
            <w:pPr>
              <w:jc w:val="both"/>
            </w:pPr>
            <w:r w:rsidRPr="00944005">
              <w:rPr>
                <w:color w:val="000000"/>
              </w:rPr>
              <w:t xml:space="preserve">О реализации </w:t>
            </w:r>
            <w:r w:rsidRPr="00944005">
              <w:t>Положения о предоставлении ежемесячных денежных выплат отдельным категориям медицинских работников за работу на удаленных и труднодоступных территориях Архангельской области, в том числе где есть переправы через водные преграды</w:t>
            </w:r>
            <w:r>
              <w:t xml:space="preserve"> и (или) находящихся на островной территории</w:t>
            </w:r>
            <w:r w:rsidRPr="00944005">
              <w:t>, утвержден</w:t>
            </w:r>
            <w:r>
              <w:t>н</w:t>
            </w:r>
            <w:r w:rsidRPr="00944005">
              <w:t>о</w:t>
            </w:r>
            <w:r>
              <w:t>го</w:t>
            </w:r>
            <w:r w:rsidRPr="00944005">
              <w:t xml:space="preserve"> постановлением Правительства </w:t>
            </w:r>
            <w:r w:rsidRPr="00944005">
              <w:lastRenderedPageBreak/>
              <w:t>Архангельской области от 8 декабря 2021 года № 699-пп</w:t>
            </w:r>
            <w:r>
              <w:t>.</w:t>
            </w:r>
          </w:p>
        </w:tc>
        <w:tc>
          <w:tcPr>
            <w:tcW w:w="2836" w:type="dxa"/>
          </w:tcPr>
          <w:p w:rsidR="00890A3C" w:rsidRPr="00890A3C" w:rsidRDefault="00890A3C" w:rsidP="00890A3C">
            <w:pPr>
              <w:jc w:val="both"/>
              <w:rPr>
                <w:b/>
              </w:rPr>
            </w:pPr>
            <w:r w:rsidRPr="00890A3C">
              <w:rPr>
                <w:b/>
              </w:rPr>
              <w:lastRenderedPageBreak/>
              <w:t>Докладчики:</w:t>
            </w:r>
          </w:p>
          <w:p w:rsidR="00890A3C" w:rsidRPr="00890A3C" w:rsidRDefault="00890A3C" w:rsidP="00890A3C">
            <w:pPr>
              <w:jc w:val="both"/>
            </w:pPr>
            <w:r w:rsidRPr="00890A3C">
              <w:t>Герштанский Александр Сергеевич –</w:t>
            </w:r>
            <w:r w:rsidRPr="00890A3C">
              <w:rPr>
                <w:b/>
              </w:rPr>
              <w:t xml:space="preserve"> </w:t>
            </w:r>
            <w:r w:rsidRPr="00890A3C">
              <w:t>исполняющий обязанности министра здравоохранения Архангельской области;</w:t>
            </w:r>
          </w:p>
          <w:p w:rsidR="00890A3C" w:rsidRPr="00890A3C" w:rsidRDefault="00890A3C" w:rsidP="00890A3C">
            <w:pPr>
              <w:jc w:val="both"/>
            </w:pPr>
            <w:r w:rsidRPr="00890A3C">
              <w:t>Зубов Александр Владимирович – председатель Архангельской областной организации профсоюза работников здравоохранения Российской Федерации.</w:t>
            </w:r>
          </w:p>
          <w:p w:rsidR="003F1EE4" w:rsidRPr="00D144BC" w:rsidRDefault="003F1EE4" w:rsidP="00890A3C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D5FA1" w:rsidRPr="00ED5FA1" w:rsidRDefault="00ED5FA1" w:rsidP="00ED5F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D5FA1">
              <w:t>Ежемесячных денежные выплаты отдельным категориям медицинских работников за работу на удаленных и труднодоступных территориях Архангельской области выплачиваются с 1 октября 2021 года в соответствии               с Положением, которое включено в постановление Правительства Архангельской области от 12 октября 2012 года № 462-пп «</w:t>
            </w:r>
            <w:r w:rsidRPr="00ED5FA1">
              <w:rPr>
                <w:rFonts w:eastAsiaTheme="minorHAnsi"/>
                <w:lang w:eastAsia="en-US"/>
              </w:rPr>
              <w:t>Об утверждении государственной программы Архангельской области «Развитие здравоохранения Архангельской области» (далее также – мероприятие, выплаты).</w:t>
            </w:r>
            <w:proofErr w:type="gramEnd"/>
          </w:p>
          <w:p w:rsidR="00ED5FA1" w:rsidRPr="00ED5FA1" w:rsidRDefault="00ED5FA1" w:rsidP="00ED5F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ED5FA1">
              <w:t xml:space="preserve">В марте 2022 года постановлением Правительства </w:t>
            </w:r>
            <w:r w:rsidRPr="00ED5FA1">
              <w:lastRenderedPageBreak/>
              <w:t xml:space="preserve">Архангельской области от 14 марта 2022 года № 131-пп </w:t>
            </w:r>
            <w:r w:rsidRPr="00ED5FA1">
              <w:rPr>
                <w:rFonts w:eastAsiaTheme="minorHAnsi"/>
                <w:lang w:eastAsia="en-US"/>
              </w:rPr>
              <w:t xml:space="preserve">«О внесении изменений в постановление Правительства Архангельской области от 12 октября 2012 года № 462-пп»                      </w:t>
            </w:r>
            <w:r w:rsidRPr="00ED5FA1">
              <w:t>в Положение были внесены изменения, которые привели к увеличению категорий получателей.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ED5FA1">
              <w:rPr>
                <w:sz w:val="24"/>
                <w:szCs w:val="24"/>
              </w:rPr>
              <w:t>В период действия первоначальной редакции Положения                                                с 1 октября 2021 года по 23 марта 2022 года предоставление выплаты осуществлялось врачам-педиатрам участковым, врачам-терапевтам участковым, врачам общей (семейной) практики, фельдшерам (всех наименований) в размере 10 000 рублей, акушеркам, медицинским сестрам (всех наименований) в размере 5000 рублей, работающим в районных                          и участковых больницах, врачебных амбулаториях, отделениях врачей общей практики (обособленных), фельдшерско-акушерских пунктах, фельдшерских</w:t>
            </w:r>
            <w:proofErr w:type="gramEnd"/>
            <w:r w:rsidRPr="00ED5FA1">
              <w:rPr>
                <w:sz w:val="24"/>
                <w:szCs w:val="24"/>
              </w:rPr>
              <w:t xml:space="preserve"> пунктах медицинских организаций, расположенных на удаленных и труднодоступных территориях Архангельской области, в том </w:t>
            </w:r>
            <w:proofErr w:type="gramStart"/>
            <w:r w:rsidRPr="00ED5FA1">
              <w:rPr>
                <w:sz w:val="24"/>
                <w:szCs w:val="24"/>
              </w:rPr>
              <w:t>числе</w:t>
            </w:r>
            <w:proofErr w:type="gramEnd"/>
            <w:r w:rsidRPr="00ED5FA1">
              <w:rPr>
                <w:sz w:val="24"/>
                <w:szCs w:val="24"/>
              </w:rPr>
              <w:t xml:space="preserve"> где есть переправы через водные преграды.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В 2022 году перечень должностей специалистов с высшим медицинским образованием, занятие которых дает право на получение </w:t>
            </w:r>
            <w:r w:rsidRPr="00ED5FA1">
              <w:rPr>
                <w:sz w:val="24"/>
                <w:szCs w:val="24"/>
              </w:rPr>
              <w:lastRenderedPageBreak/>
              <w:t>выплаты, расширен. Включены все наименования должностей специалистов с высшим медицинским образованием без исключений.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ED5FA1">
              <w:rPr>
                <w:sz w:val="24"/>
                <w:szCs w:val="24"/>
              </w:rPr>
              <w:t>После внесения изменений с 23 марта 2022 года право на получение выплаты предоставлено врачам и фельдшерам (всех наименований, в том числе фельдшер-лаборант (медицинский лабораторный техник) в размере                            10 000 рублей, среднему медицинскому персоналу, за исключением фельдшеров, в размере 5000 рублей, работающим в районных и участковых больницах, врачебных амбулаториях, отделениях врачей общей практики (обособленных), фельдшерско-акушерских пунктах, фельдшерских пунктах,                 а также рабочих</w:t>
            </w:r>
            <w:proofErr w:type="gramEnd"/>
            <w:r w:rsidRPr="00ED5FA1">
              <w:rPr>
                <w:sz w:val="24"/>
                <w:szCs w:val="24"/>
              </w:rPr>
              <w:t xml:space="preserve"> </w:t>
            </w:r>
            <w:proofErr w:type="gramStart"/>
            <w:r w:rsidRPr="00ED5FA1">
              <w:rPr>
                <w:sz w:val="24"/>
                <w:szCs w:val="24"/>
              </w:rPr>
              <w:t>местах медицинских организаций, расположенных на удаленных и труднодоступных территориях Архангельской области, в том числе, где есть переправы через водные преграды и (или) находящихся на островных территориях.</w:t>
            </w:r>
            <w:proofErr w:type="gramEnd"/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Кроме того, </w:t>
            </w:r>
            <w:proofErr w:type="gramStart"/>
            <w:r w:rsidRPr="00ED5FA1">
              <w:rPr>
                <w:sz w:val="24"/>
                <w:szCs w:val="24"/>
              </w:rPr>
              <w:t>расширен перечень структурных подразделений и включены</w:t>
            </w:r>
            <w:proofErr w:type="gramEnd"/>
            <w:r w:rsidRPr="00ED5FA1">
              <w:rPr>
                <w:sz w:val="24"/>
                <w:szCs w:val="24"/>
              </w:rPr>
              <w:t xml:space="preserve"> отдельные рабочие места. Расположение рабочего места на удаленных и труднодоступных территориях Архангельской области, в том числе, где есть переправы через водные преграды и (или) </w:t>
            </w:r>
            <w:r w:rsidRPr="00ED5FA1">
              <w:rPr>
                <w:sz w:val="24"/>
                <w:szCs w:val="24"/>
              </w:rPr>
              <w:lastRenderedPageBreak/>
              <w:t>находящихся на островных территориях, подтверждается трудовым договором.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Перечень государственных медицинских организаций Архангельской области и их структурных подразделений, которые расположены на удаленных и труднодоступных территориях Архангельской области, в том </w:t>
            </w:r>
            <w:proofErr w:type="gramStart"/>
            <w:r w:rsidRPr="00ED5FA1">
              <w:rPr>
                <w:sz w:val="24"/>
                <w:szCs w:val="24"/>
              </w:rPr>
              <w:t>числе</w:t>
            </w:r>
            <w:proofErr w:type="gramEnd"/>
            <w:r w:rsidRPr="00ED5FA1">
              <w:rPr>
                <w:sz w:val="24"/>
                <w:szCs w:val="24"/>
              </w:rPr>
              <w:t xml:space="preserve"> где есть переправы через водные преграды является приложением к Положению                     (далее – перечень).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ED5FA1">
              <w:rPr>
                <w:sz w:val="24"/>
                <w:szCs w:val="24"/>
              </w:rPr>
              <w:t xml:space="preserve">Критериями, которые являются основанием для включения структурного подразделения или рабочего места медицинской организации в перечень, является их удаленность от головной медицинской организации (центральной городской или центральной районной больницы) и расположение                                их                             в населенных пунктах с низкой плотностью населения (в три раза ниже </w:t>
            </w:r>
            <w:proofErr w:type="spellStart"/>
            <w:r w:rsidRPr="00ED5FA1">
              <w:rPr>
                <w:sz w:val="24"/>
                <w:szCs w:val="24"/>
              </w:rPr>
              <w:t>среднероссийского</w:t>
            </w:r>
            <w:proofErr w:type="spellEnd"/>
            <w:r w:rsidRPr="00ED5FA1">
              <w:rPr>
                <w:sz w:val="24"/>
                <w:szCs w:val="24"/>
              </w:rPr>
              <w:t xml:space="preserve"> показателя), и (или) плохой транспортной доступностью,                     и (или) имеющим водные и другие преграды.</w:t>
            </w:r>
            <w:proofErr w:type="gramEnd"/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На 1 октября 2021 года в перечень было включено 495 структурных подразделений из 23 государственных медицинских организаций Архангельской области, с 23 марта 2022 года </w:t>
            </w:r>
            <w:r w:rsidRPr="00ED5FA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D5FA1">
              <w:rPr>
                <w:sz w:val="24"/>
                <w:szCs w:val="24"/>
              </w:rPr>
              <w:t xml:space="preserve"> 520 структурных подразделений из 28 </w:t>
            </w:r>
            <w:r w:rsidRPr="00ED5FA1">
              <w:rPr>
                <w:sz w:val="24"/>
                <w:szCs w:val="24"/>
              </w:rPr>
              <w:lastRenderedPageBreak/>
              <w:t xml:space="preserve">государственных медицинских организаций. 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>Учет лиц, имеющих право на получение выплаты, ведут медицинские организации Архангельской области.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Выплата </w:t>
            </w:r>
            <w:proofErr w:type="gramStart"/>
            <w:r w:rsidRPr="00ED5FA1">
              <w:rPr>
                <w:sz w:val="24"/>
                <w:szCs w:val="24"/>
              </w:rPr>
              <w:t>носит стимулирующий характер и осуществляется</w:t>
            </w:r>
            <w:proofErr w:type="gramEnd"/>
            <w:r w:rsidRPr="00ED5FA1">
              <w:rPr>
                <w:sz w:val="24"/>
                <w:szCs w:val="24"/>
              </w:rPr>
              <w:t xml:space="preserve"> медицинскими организациями по месту трудоустройства медицинского работника пропорционально занятым должностям за фактически отработанное время.  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>К выплатам применяются районный коэффициент и процентная надбавка к заработной плате за стаж работы в районах Крайнего Севера и приравненных к ним местностях.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>В 2022 году на реализацию мероприятия в государственной программе «Развитие здравоохранения Архангельской области» предусмотрено                                310,37 млн. рублей (в том числе 98,8 млн. рублей дополнительно выделенных               в 2022 году), на 2023 год запланировано 320,752 млн. рублей.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На 1 ноября 2022 года государственными медицинскими организациями использовано 137,6 млн. рублей. 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По информации министерства здравоохранения Архангельской области введение указанного мероприятия оказало положительное влияние                              на </w:t>
            </w:r>
            <w:r w:rsidRPr="00ED5FA1">
              <w:rPr>
                <w:sz w:val="24"/>
                <w:szCs w:val="24"/>
              </w:rPr>
              <w:lastRenderedPageBreak/>
              <w:t xml:space="preserve">доступность медицинской помощи в удаленных районах. </w:t>
            </w:r>
          </w:p>
          <w:p w:rsidR="00ED5FA1" w:rsidRPr="00ED5FA1" w:rsidRDefault="00ED5FA1" w:rsidP="00ED5FA1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ED5FA1">
              <w:rPr>
                <w:sz w:val="24"/>
                <w:szCs w:val="24"/>
              </w:rPr>
              <w:t xml:space="preserve">В министерство здравоохранения Архангельского области и к депутатам Архангельского областного Собрания депутатов поступали обращения                        от сотрудников, работающих в головных медицинских организациях,                                  и от врачей-стоматологов по вопросу осуществления выплат                                               с 1 октября 2021 года. </w:t>
            </w:r>
          </w:p>
          <w:p w:rsidR="003F1EE4" w:rsidRDefault="003F1EE4" w:rsidP="00800D5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2268" w:type="dxa"/>
          </w:tcPr>
          <w:p w:rsidR="003F1EE4" w:rsidRPr="005366CD" w:rsidRDefault="003F1EE4" w:rsidP="00800D5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ED5FA1" w:rsidRPr="00ED5FA1" w:rsidRDefault="00ED5FA1" w:rsidP="00ED5FA1">
            <w:pPr>
              <w:jc w:val="both"/>
            </w:pPr>
            <w:r>
              <w:t>1.</w:t>
            </w:r>
            <w:r w:rsidRPr="00ED5FA1">
              <w:t>Информацию министерства здравоохранения Архангельской области принять к сведению.</w:t>
            </w:r>
          </w:p>
          <w:p w:rsidR="00890A3C" w:rsidRDefault="00ED5FA1" w:rsidP="00ED5FA1">
            <w:pPr>
              <w:pStyle w:val="2"/>
              <w:spacing w:after="0" w:line="240" w:lineRule="auto"/>
              <w:jc w:val="both"/>
            </w:pPr>
            <w:proofErr w:type="gramStart"/>
            <w:r>
              <w:t>2.</w:t>
            </w:r>
            <w:r w:rsidRPr="00ED5FA1">
              <w:t xml:space="preserve">Рекомендовать министерству здравоохранения Архангельской области провести анализ и рассмотреть вопрос о предоставлении ежемесячных денежных выплат отдельным категориям медицинских работников, на которых </w:t>
            </w:r>
            <w:r w:rsidRPr="00ED5FA1">
              <w:lastRenderedPageBreak/>
              <w:t xml:space="preserve">не распространялось Положение в период с момента его введения (1 октября 2021 года) до вступления в силу постановления Правительства Архангельской области от 14 марта 2022 года № 131-пп </w:t>
            </w:r>
            <w:r>
              <w:rPr>
                <w:rFonts w:eastAsiaTheme="minorHAnsi"/>
                <w:lang w:eastAsia="en-US"/>
              </w:rPr>
              <w:t>«О внесении изменение</w:t>
            </w:r>
            <w:r w:rsidRPr="00ED5FA1">
              <w:rPr>
                <w:rFonts w:eastAsiaTheme="minorHAnsi"/>
                <w:lang w:eastAsia="en-US"/>
              </w:rPr>
              <w:t xml:space="preserve"> в постановление Правительства Архангельской области от 12 октября</w:t>
            </w:r>
            <w:proofErr w:type="gramEnd"/>
            <w:r w:rsidRPr="00ED5FA1">
              <w:rPr>
                <w:rFonts w:eastAsiaTheme="minorHAnsi"/>
                <w:lang w:eastAsia="en-US"/>
              </w:rPr>
              <w:t xml:space="preserve"> 2012 года № 462-пп» (23 марта 2022 года)</w:t>
            </w:r>
            <w:r w:rsidRPr="00ED5FA1">
              <w:t>.</w:t>
            </w:r>
          </w:p>
          <w:p w:rsidR="00890A3C" w:rsidRDefault="00890A3C" w:rsidP="00800D5F">
            <w:pPr>
              <w:pStyle w:val="2"/>
              <w:spacing w:after="0" w:line="240" w:lineRule="auto"/>
              <w:jc w:val="both"/>
            </w:pPr>
          </w:p>
          <w:p w:rsidR="003F1EE4" w:rsidRPr="005366CD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1EE4" w:rsidRPr="00B27A37" w:rsidTr="00800D5F">
        <w:tc>
          <w:tcPr>
            <w:tcW w:w="534" w:type="dxa"/>
          </w:tcPr>
          <w:p w:rsidR="003F1EE4" w:rsidRPr="005366CD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3F1EE4" w:rsidRPr="008003E2" w:rsidRDefault="003F1EE4" w:rsidP="00800D5F">
            <w:pPr>
              <w:jc w:val="both"/>
            </w:pPr>
            <w:r w:rsidRPr="00D144BC">
              <w:rPr>
                <w:color w:val="000000"/>
              </w:rPr>
              <w:t>О проекте областного закона № пз7/863 «О внесении изменений                  в статью 24 областного закона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3F1EE4" w:rsidRPr="008003E2" w:rsidRDefault="003F1EE4" w:rsidP="00800D5F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3F1EE4" w:rsidRPr="008003E2" w:rsidRDefault="003F1EE4" w:rsidP="00800D5F">
            <w:pPr>
              <w:jc w:val="both"/>
            </w:pPr>
            <w:r w:rsidRPr="008003E2">
              <w:t>Губернатор Архангельской области Цыбульский А.В.</w:t>
            </w:r>
          </w:p>
          <w:p w:rsidR="003F1EE4" w:rsidRDefault="003F1EE4" w:rsidP="00800D5F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</w:p>
          <w:p w:rsidR="003F1EE4" w:rsidRPr="00BA7EB3" w:rsidRDefault="003F1EE4" w:rsidP="00800D5F">
            <w:pPr>
              <w:jc w:val="both"/>
              <w:rPr>
                <w:bCs/>
              </w:rPr>
            </w:pP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3F1EE4" w:rsidRPr="008003E2" w:rsidRDefault="003F1EE4" w:rsidP="00800D5F">
            <w:pPr>
              <w:jc w:val="both"/>
              <w:rPr>
                <w:b/>
              </w:rPr>
            </w:pPr>
            <w:r w:rsidRPr="008003E2">
              <w:rPr>
                <w:color w:val="000000"/>
              </w:rPr>
              <w:t xml:space="preserve"> </w:t>
            </w:r>
          </w:p>
          <w:p w:rsidR="003F1EE4" w:rsidRPr="008003E2" w:rsidRDefault="003F1EE4" w:rsidP="00800D5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F1EE4" w:rsidRPr="00565A65" w:rsidRDefault="003F1EE4" w:rsidP="003F1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565A65">
              <w:t>Законопроектом предлагается предусмотреть беззаявительный порядок предоставления мер социальной поддержки гражданам, награжденным медалью ордена или орденом «Родительская слава» (далее – граждане). Необходимые для предоставления мер социальной поддержки сведения согласно законопроекту запрашиваются государственным учреждением социальной защиты населения Архангельской области (далее – государственное учреждение) путем направления соответствующих межведомственных запросов.</w:t>
            </w:r>
          </w:p>
          <w:p w:rsidR="003F1EE4" w:rsidRPr="00565A65" w:rsidRDefault="003F1EE4" w:rsidP="003F1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65A65">
              <w:t>В связи с этим законопроектом предлагается изменить процедуру принятия государственным учрежд</w:t>
            </w:r>
            <w:r>
              <w:t xml:space="preserve">ением решения о предоставлении </w:t>
            </w:r>
            <w:r w:rsidRPr="00565A65">
              <w:t xml:space="preserve">или решения о непредоставлении гражданам мер социальной поддержки.                  В </w:t>
            </w:r>
            <w:r w:rsidRPr="00565A65">
              <w:lastRenderedPageBreak/>
              <w:t>соответствии  с законопроектом меры социальной поддержки должны быть предоставлены не позднее 15 рабочих дней со дня награждения граждан медалью ордена или орденом «Родительская слава» (в нас</w:t>
            </w:r>
            <w:r>
              <w:t xml:space="preserve">тоящее время не </w:t>
            </w:r>
            <w:r w:rsidRPr="00565A65">
              <w:t>позднее 10 рабочих дней со дня подачи гражданами соответствующего заявления).</w:t>
            </w:r>
          </w:p>
          <w:p w:rsidR="003F1EE4" w:rsidRPr="00565A65" w:rsidRDefault="003F1EE4" w:rsidP="003F1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65A65">
              <w:t xml:space="preserve">Законопроектом скорректированы также основания для отказа </w:t>
            </w:r>
            <w:r w:rsidRPr="00565A65">
              <w:br/>
              <w:t xml:space="preserve">в предоставлении гражданам мер социальной поддержки. Согласно законопроекту меры поддержки не предоставляются только в случае, если ранее заявителем уже было реализовано право на их </w:t>
            </w:r>
            <w:r>
              <w:t xml:space="preserve">предоставление в связи </w:t>
            </w:r>
            <w:r w:rsidRPr="00565A65">
              <w:t>с награждением медалью ордена или орденом «Родительская слава».</w:t>
            </w:r>
          </w:p>
          <w:p w:rsidR="003F1EE4" w:rsidRPr="00896657" w:rsidRDefault="00A75CD9" w:rsidP="003F1EE4">
            <w:pPr>
              <w:pStyle w:val="2"/>
              <w:spacing w:after="0" w:line="240" w:lineRule="auto"/>
              <w:jc w:val="both"/>
            </w:pPr>
            <w:r w:rsidRPr="00A75CD9">
              <w:t>К законопроекту поступила поправка депутата Эммануилова С.Д.</w:t>
            </w:r>
            <w:r>
              <w:t>,</w:t>
            </w:r>
            <w:r w:rsidRPr="00A75CD9">
              <w:t xml:space="preserve"> носящая редакционно-технический характер.</w:t>
            </w:r>
            <w:r w:rsidR="003F1EE4">
              <w:t xml:space="preserve"> </w:t>
            </w:r>
          </w:p>
        </w:tc>
        <w:tc>
          <w:tcPr>
            <w:tcW w:w="2268" w:type="dxa"/>
          </w:tcPr>
          <w:p w:rsidR="003F1EE4" w:rsidRPr="00233A20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33A20">
              <w:rPr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sz w:val="24"/>
                <w:szCs w:val="24"/>
              </w:rPr>
              <w:t>с планом работы комитета на ноябрь</w:t>
            </w:r>
            <w:r w:rsidRPr="00233A20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2766" w:type="dxa"/>
          </w:tcPr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Одобрить поправку </w:t>
            </w:r>
            <w:r w:rsidRPr="00C95462">
              <w:rPr>
                <w:szCs w:val="28"/>
              </w:rPr>
              <w:t>депутата Архангель</w:t>
            </w:r>
            <w:r>
              <w:rPr>
                <w:szCs w:val="28"/>
              </w:rPr>
              <w:t>-</w:t>
            </w:r>
            <w:r w:rsidRPr="00C95462">
              <w:rPr>
                <w:szCs w:val="28"/>
              </w:rPr>
              <w:t>ского областного Собрания деп</w:t>
            </w:r>
            <w:r>
              <w:rPr>
                <w:szCs w:val="28"/>
              </w:rPr>
              <w:t>утатов Эммануилова С.Д., носящую</w:t>
            </w:r>
            <w:r w:rsidRPr="00C95462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>ий характер.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2. Предложить</w:t>
            </w:r>
            <w:r w:rsidRPr="00E96F9E">
              <w:rPr>
                <w:szCs w:val="28"/>
              </w:rPr>
              <w:t xml:space="preserve"> депутатам </w:t>
            </w:r>
            <w:r>
              <w:rPr>
                <w:szCs w:val="28"/>
              </w:rPr>
              <w:t xml:space="preserve">Архангель-ского </w:t>
            </w:r>
            <w:r w:rsidRPr="00E96F9E">
              <w:rPr>
                <w:szCs w:val="28"/>
              </w:rPr>
              <w:t>областного С</w:t>
            </w:r>
            <w:r>
              <w:rPr>
                <w:szCs w:val="28"/>
              </w:rPr>
              <w:t>обрания депутатов принять</w:t>
            </w:r>
            <w:r w:rsidRPr="00E96F9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законопроект </w:t>
            </w:r>
            <w:r w:rsidRPr="00E96F9E">
              <w:rPr>
                <w:szCs w:val="28"/>
              </w:rPr>
              <w:t>во втором</w:t>
            </w:r>
            <w:r w:rsidRPr="00846B84">
              <w:rPr>
                <w:szCs w:val="28"/>
              </w:rPr>
              <w:t xml:space="preserve"> чтении.</w:t>
            </w:r>
          </w:p>
          <w:p w:rsidR="003F1EE4" w:rsidRPr="00233A20" w:rsidRDefault="003F1EE4" w:rsidP="00800D5F">
            <w:pPr>
              <w:pStyle w:val="2"/>
              <w:spacing w:after="0" w:line="240" w:lineRule="auto"/>
              <w:jc w:val="both"/>
            </w:pPr>
            <w:r w:rsidRPr="00233A20">
              <w:t xml:space="preserve">   </w:t>
            </w:r>
          </w:p>
        </w:tc>
      </w:tr>
      <w:tr w:rsidR="003F1EE4" w:rsidRPr="00B27A37" w:rsidTr="00800D5F">
        <w:tc>
          <w:tcPr>
            <w:tcW w:w="534" w:type="dxa"/>
          </w:tcPr>
          <w:p w:rsidR="003F1EE4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3F1EE4" w:rsidRPr="00D144BC" w:rsidRDefault="003F1EE4" w:rsidP="003F1EE4">
            <w:pPr>
              <w:jc w:val="both"/>
              <w:rPr>
                <w:color w:val="000000"/>
              </w:rPr>
            </w:pPr>
            <w:r w:rsidRPr="004E11B6">
              <w:t xml:space="preserve">О проекте областного закона </w:t>
            </w:r>
            <w:r>
              <w:rPr>
                <w:color w:val="000000"/>
              </w:rPr>
              <w:t xml:space="preserve">№ </w:t>
            </w:r>
            <w:r w:rsidRPr="00D144BC">
              <w:rPr>
                <w:color w:val="000000"/>
              </w:rPr>
              <w:t xml:space="preserve">пз7/846 «О внесении изменений </w:t>
            </w:r>
            <w:r w:rsidRPr="00D144BC">
              <w:rPr>
                <w:color w:val="000000"/>
              </w:rPr>
              <w:br/>
              <w:t>в областной закон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836" w:type="dxa"/>
          </w:tcPr>
          <w:p w:rsidR="003F1EE4" w:rsidRPr="008003E2" w:rsidRDefault="003F1EE4" w:rsidP="003F1EE4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3F1EE4" w:rsidRPr="008003E2" w:rsidRDefault="003F1EE4" w:rsidP="003F1EE4">
            <w:pPr>
              <w:jc w:val="both"/>
            </w:pPr>
            <w:r w:rsidRPr="008003E2">
              <w:t>Губернатор Архангельской области Цыбульский А.В.</w:t>
            </w:r>
          </w:p>
          <w:p w:rsidR="003F1EE4" w:rsidRDefault="003F1EE4" w:rsidP="003F1EE4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</w:p>
          <w:p w:rsidR="003F1EE4" w:rsidRPr="00BA7EB3" w:rsidRDefault="003F1EE4" w:rsidP="003F1EE4">
            <w:pPr>
              <w:jc w:val="both"/>
              <w:rPr>
                <w:bCs/>
              </w:rPr>
            </w:pP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3F1EE4" w:rsidRPr="00D144BC" w:rsidRDefault="003F1EE4" w:rsidP="00800D5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F1EE4" w:rsidRDefault="003F1EE4" w:rsidP="003F1EE4">
            <w:pPr>
              <w:pStyle w:val="2"/>
              <w:spacing w:after="0" w:line="240" w:lineRule="auto"/>
              <w:jc w:val="both"/>
            </w:pPr>
            <w:r w:rsidRPr="00D24027">
              <w:t xml:space="preserve">Законопроект разработан в целях совершенствования процедуры </w:t>
            </w:r>
            <w:r>
              <w:t xml:space="preserve">                       </w:t>
            </w:r>
            <w:r w:rsidRPr="00D24027">
              <w:t>и условий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  <w:r>
              <w:t xml:space="preserve"> </w:t>
            </w:r>
            <w:r w:rsidRPr="00D24027">
              <w:t xml:space="preserve">(далее соответственно – ведомственный контроль, трудовое законодательство) исполнительными органами государственной власти Архангельской области и органами </w:t>
            </w:r>
            <w:r w:rsidRPr="00D24027">
              <w:lastRenderedPageBreak/>
              <w:t xml:space="preserve">местного самоуправления </w:t>
            </w:r>
            <w:r>
              <w:t xml:space="preserve">                                      </w:t>
            </w:r>
            <w:r w:rsidRPr="00D24027">
              <w:t>в подведомственных организациях</w:t>
            </w:r>
            <w:r>
              <w:t xml:space="preserve"> </w:t>
            </w:r>
            <w:r w:rsidRPr="00D24027">
              <w:t xml:space="preserve">(далее – органы, осуществляющие </w:t>
            </w:r>
            <w:r w:rsidRPr="00565A65">
              <w:t>ведомственный контроль).</w:t>
            </w:r>
          </w:p>
          <w:p w:rsidR="003F1EE4" w:rsidRPr="00565A65" w:rsidRDefault="003F1EE4" w:rsidP="003F1EE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color w:val="000000"/>
              </w:rPr>
              <w:t xml:space="preserve">   </w:t>
            </w:r>
            <w:r w:rsidRPr="00565A65">
              <w:rPr>
                <w:color w:val="000000"/>
              </w:rPr>
              <w:t>1. В рамках первого блока изменений предлагается скорректировать содержание ежегодного плана плановых проверок, проводимых в рамках ведомственного контроля, предусмотрев в нем указание также на дату окончания проведения плановой проверки, а также ввести механизм размещения на официальном сайте органа, осуществляющего ведомственный контроль, в информационно-телекоммуникационной сети «Интернет» правок, вносимых в данный еж</w:t>
            </w:r>
            <w:r>
              <w:rPr>
                <w:color w:val="000000"/>
              </w:rPr>
              <w:t xml:space="preserve">егодный план плановых проверок. </w:t>
            </w:r>
            <w:r w:rsidRPr="00565A65">
              <w:rPr>
                <w:color w:val="000000"/>
              </w:rPr>
              <w:t>В силу законопроекта эти правки размещаются на указанном сайте в течение трех рабочих дней со дня утверждения их правовым актом органа, осуществляющего ведомственный контроль.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565A65">
              <w:rPr>
                <w:color w:val="000000"/>
                <w:sz w:val="24"/>
                <w:szCs w:val="24"/>
              </w:rPr>
              <w:t xml:space="preserve">2. Согласно второму блоку изменений корректируется процедура организации проверок, проводимых в рамках ведомственного контроля </w:t>
            </w:r>
            <w:r w:rsidRPr="00565A65">
              <w:rPr>
                <w:color w:val="000000"/>
                <w:sz w:val="24"/>
                <w:szCs w:val="24"/>
              </w:rPr>
              <w:br/>
              <w:t xml:space="preserve">(далее также – проверки). 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65A65">
              <w:rPr>
                <w:sz w:val="24"/>
                <w:szCs w:val="24"/>
              </w:rPr>
              <w:t>3. Третьим блоком правок законопроекта совершенствуется процедура оформления результатов проведения проверки.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65A65">
              <w:rPr>
                <w:sz w:val="24"/>
                <w:szCs w:val="24"/>
              </w:rPr>
              <w:t xml:space="preserve">Согласно законопроекту </w:t>
            </w:r>
            <w:r w:rsidRPr="00565A65">
              <w:rPr>
                <w:sz w:val="24"/>
                <w:szCs w:val="24"/>
              </w:rPr>
              <w:lastRenderedPageBreak/>
              <w:t>уточняется содержание акта проверки, который составляется по результатам проведения проверки должностными лицами органа, осуществляющего ведомственный контроль.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565A65">
              <w:rPr>
                <w:bCs/>
                <w:sz w:val="24"/>
                <w:szCs w:val="24"/>
                <w:lang w:eastAsia="ru-RU"/>
              </w:rPr>
              <w:t>4. В рамках четвертого блока правок законопроекта развивается процедура устранения подведомственной организацией нарушений трудового законодательства, выявленных по результатам проверки.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565A65">
              <w:rPr>
                <w:bCs/>
                <w:sz w:val="24"/>
                <w:szCs w:val="24"/>
                <w:lang w:eastAsia="ru-RU"/>
              </w:rPr>
              <w:t xml:space="preserve">В этих целях законопроектом вводится максимальный срок </w:t>
            </w:r>
            <w:r w:rsidRPr="00565A65">
              <w:rPr>
                <w:bCs/>
                <w:sz w:val="24"/>
                <w:szCs w:val="24"/>
                <w:lang w:eastAsia="ru-RU"/>
              </w:rPr>
              <w:br/>
              <w:t xml:space="preserve">для устранения указанной организацией нарушений трудового законодательства, который может быть установлен в предписании, – </w:t>
            </w:r>
            <w:r w:rsidRPr="00565A65">
              <w:rPr>
                <w:bCs/>
                <w:sz w:val="24"/>
                <w:szCs w:val="24"/>
                <w:lang w:eastAsia="ru-RU"/>
              </w:rPr>
              <w:br/>
              <w:t xml:space="preserve">не более 40 календарных дней со дня выдачи предписания. В настоящее время данный срок областным законом не определен. 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565A65">
              <w:rPr>
                <w:bCs/>
                <w:sz w:val="24"/>
                <w:szCs w:val="24"/>
                <w:lang w:eastAsia="ru-RU"/>
              </w:rPr>
              <w:t>5. В соответствии с пятым блоком изменений предлагается наделить министерство труда, занятости и социального развития Архангельской области полномочиями по:</w:t>
            </w:r>
          </w:p>
          <w:p w:rsidR="003F1EE4" w:rsidRPr="00565A65" w:rsidRDefault="003F1EE4" w:rsidP="003F1EE4">
            <w:pPr>
              <w:pStyle w:val="1"/>
              <w:ind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565A65">
              <w:rPr>
                <w:bCs/>
                <w:sz w:val="24"/>
                <w:szCs w:val="24"/>
                <w:lang w:eastAsia="ru-RU"/>
              </w:rPr>
              <w:t>- утверждению формы представления информации о проведении проверок, представляемой исполнительными органами региональной власти, осуществляющими ведомственный контроль;</w:t>
            </w:r>
          </w:p>
          <w:p w:rsidR="003F1EE4" w:rsidRPr="00565A65" w:rsidRDefault="003F1EE4" w:rsidP="003F1E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</w:t>
            </w:r>
            <w:r w:rsidRPr="00565A65">
              <w:rPr>
                <w:bCs/>
                <w:color w:val="000000" w:themeColor="text1"/>
              </w:rPr>
              <w:t xml:space="preserve">- координации в пределах своей компетенции деятельности </w:t>
            </w:r>
            <w:r w:rsidRPr="00565A65">
              <w:rPr>
                <w:bCs/>
                <w:color w:val="000000" w:themeColor="text1"/>
              </w:rPr>
              <w:lastRenderedPageBreak/>
              <w:t xml:space="preserve">исполнительных органов региональной власти, </w:t>
            </w:r>
            <w:r w:rsidRPr="00565A65">
              <w:rPr>
                <w:bCs/>
              </w:rPr>
              <w:t xml:space="preserve">осуществляющих ведомственный контроль и оказанию таким органам </w:t>
            </w:r>
            <w:r w:rsidRPr="00565A65">
              <w:rPr>
                <w:bCs/>
                <w:color w:val="000000" w:themeColor="text1"/>
              </w:rPr>
              <w:t>методической пом</w:t>
            </w:r>
            <w:r>
              <w:rPr>
                <w:bCs/>
                <w:color w:val="000000" w:themeColor="text1"/>
              </w:rPr>
              <w:t xml:space="preserve">ощи </w:t>
            </w:r>
            <w:r w:rsidRPr="00565A65">
              <w:rPr>
                <w:bCs/>
                <w:color w:val="000000" w:themeColor="text1"/>
              </w:rPr>
              <w:t>в части организации и проведения ведомственного контроля;</w:t>
            </w:r>
          </w:p>
          <w:p w:rsidR="003F1EE4" w:rsidRPr="00565A65" w:rsidRDefault="003F1EE4" w:rsidP="003F1E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</w:t>
            </w:r>
            <w:r w:rsidRPr="00565A65">
              <w:rPr>
                <w:bCs/>
                <w:color w:val="000000" w:themeColor="text1"/>
              </w:rPr>
              <w:t xml:space="preserve">- обобщению нарушений, выявленных исполнительными органами региональной власти по результатам проведения проверок </w:t>
            </w:r>
            <w:r w:rsidRPr="00565A65">
              <w:rPr>
                <w:color w:val="000000" w:themeColor="text1"/>
              </w:rPr>
              <w:t>соблюдения подведомственными организациями трудового законодательства</w:t>
            </w:r>
            <w:r w:rsidRPr="00565A65">
              <w:rPr>
                <w:bCs/>
                <w:color w:val="000000" w:themeColor="text1"/>
              </w:rPr>
              <w:t>.</w:t>
            </w:r>
          </w:p>
          <w:p w:rsidR="003F1EE4" w:rsidRDefault="00A75CD9" w:rsidP="00800D5F">
            <w:pPr>
              <w:pStyle w:val="2"/>
              <w:spacing w:after="0" w:line="240" w:lineRule="auto"/>
              <w:jc w:val="both"/>
            </w:pPr>
            <w:r>
              <w:t>Поправок к законопроекту не поступило.</w:t>
            </w:r>
          </w:p>
        </w:tc>
        <w:tc>
          <w:tcPr>
            <w:tcW w:w="2268" w:type="dxa"/>
          </w:tcPr>
          <w:p w:rsidR="003F1EE4" w:rsidRPr="00233A20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33A20">
              <w:rPr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sz w:val="24"/>
                <w:szCs w:val="24"/>
              </w:rPr>
              <w:t>с планом работы комитета на ноябрь</w:t>
            </w:r>
            <w:r w:rsidRPr="00233A20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2766" w:type="dxa"/>
          </w:tcPr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E96F9E">
              <w:rPr>
                <w:szCs w:val="28"/>
              </w:rPr>
              <w:t xml:space="preserve"> депутатам </w:t>
            </w:r>
            <w:r>
              <w:rPr>
                <w:szCs w:val="28"/>
              </w:rPr>
              <w:t xml:space="preserve">Архангельского </w:t>
            </w:r>
            <w:r w:rsidRPr="00E96F9E">
              <w:rPr>
                <w:szCs w:val="28"/>
              </w:rPr>
              <w:t>областного С</w:t>
            </w:r>
            <w:r>
              <w:rPr>
                <w:szCs w:val="28"/>
              </w:rPr>
              <w:t>обрания депутатов принять</w:t>
            </w:r>
            <w:r w:rsidRPr="00E96F9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законопроект </w:t>
            </w:r>
            <w:r w:rsidRPr="00E96F9E">
              <w:rPr>
                <w:szCs w:val="28"/>
              </w:rPr>
              <w:t>во втором</w:t>
            </w:r>
            <w:r w:rsidRPr="00846B84">
              <w:rPr>
                <w:szCs w:val="28"/>
              </w:rPr>
              <w:t xml:space="preserve"> чтении.</w:t>
            </w:r>
          </w:p>
          <w:p w:rsidR="003F1EE4" w:rsidRPr="00233A20" w:rsidRDefault="003F1EE4" w:rsidP="00800D5F">
            <w:pPr>
              <w:pStyle w:val="2"/>
              <w:spacing w:after="0" w:line="240" w:lineRule="auto"/>
              <w:jc w:val="both"/>
            </w:pPr>
            <w:r w:rsidRPr="00233A20">
              <w:t xml:space="preserve">   </w:t>
            </w:r>
          </w:p>
        </w:tc>
      </w:tr>
      <w:tr w:rsidR="003F1EE4" w:rsidRPr="00B27A37" w:rsidTr="00800D5F">
        <w:tc>
          <w:tcPr>
            <w:tcW w:w="534" w:type="dxa"/>
          </w:tcPr>
          <w:p w:rsidR="003F1EE4" w:rsidRPr="00D144BC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 w:rsidRPr="00D144BC"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3F1EE4" w:rsidRPr="00D144BC" w:rsidRDefault="003F1EE4" w:rsidP="00800D5F">
            <w:pPr>
              <w:jc w:val="both"/>
            </w:pPr>
            <w:r w:rsidRPr="00706EF6">
              <w:t xml:space="preserve">О проекте областного закона </w:t>
            </w:r>
            <w:r w:rsidRPr="00706EF6">
              <w:rPr>
                <w:color w:val="000000"/>
              </w:rPr>
              <w:t xml:space="preserve">№ пз7/865 </w:t>
            </w:r>
            <w:r w:rsidRPr="00706EF6">
              <w:t>«О внесении изменений в статьи 2.3 и 2.7 областного закона «О порядке предоставления земельных участков отдельным категориям граждан» и статью 22.1 областного закона             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3F1EE4" w:rsidRPr="008003E2" w:rsidRDefault="003F1EE4" w:rsidP="003F1EE4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3F1EE4" w:rsidRPr="008003E2" w:rsidRDefault="003F1EE4" w:rsidP="003F1EE4">
            <w:pPr>
              <w:jc w:val="both"/>
            </w:pPr>
            <w:r w:rsidRPr="008003E2">
              <w:t>Губернатор Архангельской области Цыбульский А.В.</w:t>
            </w:r>
          </w:p>
          <w:p w:rsidR="003F1EE4" w:rsidRDefault="003F1EE4" w:rsidP="003F1EE4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</w:p>
          <w:p w:rsidR="003F1EE4" w:rsidRPr="00BA7EB3" w:rsidRDefault="003F1EE4" w:rsidP="003F1EE4">
            <w:pPr>
              <w:jc w:val="both"/>
              <w:rPr>
                <w:bCs/>
              </w:rPr>
            </w:pP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3F1EE4" w:rsidRPr="008003E2" w:rsidRDefault="003F1EE4" w:rsidP="00800D5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 w:rsidRPr="0099253D">
              <w:t xml:space="preserve">Законопроект разработан в целях введения правовой основы                          для возможности предоставления органами местного самоуправления муниципальных районов, муниципальных округов и городских округов Архангельской области многодетным семьям, которым предоставляется за счет средств областного бюджета денежная выплата взамен предоставления земельного участка в собственность бесплатно, также дополнительной выплаты за счет средств местных бюджетов – единовременной денежной выплаты взамен предоставления земельного участка в собственность бесплатно </w:t>
            </w:r>
            <w:r w:rsidRPr="0099253D">
              <w:br/>
              <w:t>(далее также – единовременная денежная выплата).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9253D">
              <w:t xml:space="preserve">В Правительство Архангельской </w:t>
            </w:r>
            <w:r w:rsidRPr="0099253D">
              <w:lastRenderedPageBreak/>
              <w:t xml:space="preserve">области поступают обращения </w:t>
            </w:r>
            <w:r w:rsidRPr="0099253D">
              <w:br/>
              <w:t>от органов местного самоуправления муниципальных образований Архангельской области по вопросу установления возможности выделения средств из местного бюджета на осуществление единовременной денежной выплаты. В частности, администрацией городского округа Архангельской области «Северодвинск» отмечается заинте</w:t>
            </w:r>
            <w:r>
              <w:t xml:space="preserve">ресованность многодетных семей </w:t>
            </w:r>
            <w:r w:rsidRPr="0099253D">
              <w:t>в получении единовременной денежной выплаты вместо земельного участка в собственность бесплатно, а также возможность выделения средств из местного бюджета на осуществление единовременной денежной выплаты.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9253D">
              <w:t>Согласно концепции законопроекта единовременная денежная выплата по своей природе является дополнительной мерой социальной поддержки по отношению к денежной вып</w:t>
            </w:r>
            <w:r>
              <w:t xml:space="preserve">лате, выплачиваемой многодетным </w:t>
            </w:r>
            <w:r w:rsidRPr="0099253D">
              <w:t xml:space="preserve">семьям за счет средств областного бюджета. Учитывая это, представляется, что единовременная денежная выплата должна носить целевой характер, направления, на которые будет предоставляться многодетным семьям единовременная денежная выплата, и условия предоставления такой выплаты будут аналогичны соответственно направлениям, на которые в настоящее время </w:t>
            </w:r>
            <w:r w:rsidRPr="0099253D">
              <w:lastRenderedPageBreak/>
              <w:t xml:space="preserve">предоставляется денежная выплата за счет средств областного бюджета, </w:t>
            </w:r>
            <w:r w:rsidRPr="0099253D">
              <w:br/>
              <w:t>и условиям предоставления денежной выплаты.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9253D">
              <w:t>В силу законопроекта размер (размеры) единовременной денежной выплаты, цели использования и условия предоставления такой выплаты определяются решениями представительных органов муниципальных районов, муниципальных округов, городских округов Архангельской области, в которых предусмотрено предоставление такой выплаты.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9253D">
              <w:t xml:space="preserve">Согласно законопроекту порядок взаимодействия органов местного самоуправления муниципальных районов, муниципальных округов, городских округов Архангельской области и государственного учреждения социальной защиты населения Архангельской области, предоставляющего за счет средств областного бюджета денежную выплату взамен предоставления земельного участка в собственность бесплатно, при принятии органами местного самоуправления решений о предоставлении единовременной денежной выплаты определяется соответственно постановлениями местных администраций муниципальных районов, муниципальных округов, городских округов Архангельской области, в которых предусмотрено </w:t>
            </w:r>
            <w:r w:rsidRPr="0099253D">
              <w:lastRenderedPageBreak/>
              <w:t>предоставление единовременной денежной выплаты, и</w:t>
            </w:r>
            <w:r>
              <w:t xml:space="preserve"> </w:t>
            </w:r>
            <w:r w:rsidRPr="0099253D">
              <w:t>постановлением Правительства Архангельской области.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9253D">
              <w:t xml:space="preserve">Учитывая то, что органы местного самоуправления вправе предоставлять многодетным семьям с их согласия за счет средств местных бюджетов муниципальных районов, муниципальных округов, городских округов Архангельской области (далее – муниципальные образования) единовременную денежную выплату взамен предоставления им земельного участка в собственность бесплатно, а также учитывая то, что в силу концепции законопроекта единовременная денежная выплата по своей природе является дополнительной выплатой применительно к денежной выплате, предоставляемой многодетным семьям взамен земельного участка </w:t>
            </w:r>
            <w:r w:rsidRPr="0099253D">
              <w:br/>
              <w:t>в собственность бесплатно за счет средств областного бюджета, законопроектом предлагается усовершенствовать процедуру включения многодетных семей в реестры многодетных семей, имеющих намерение приобрести земельные участки в собственность бесплатно (далее – реестры), ведение которых осуществляется органами местного самоуправления муниципальных образований, а также исключения их из реестров.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99253D">
              <w:t>В силу схожести правовой природы, целей и условий предоставления многодетным семьям денежной выплаты и единовременной денежной выплаты представляется, что и правовые последствия перечисления этих выплат данным семьям с точки зрения включения их в реестры и исключения их из реестров должны быть аналогичными.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</w:t>
            </w:r>
            <w:r w:rsidRPr="0099253D">
              <w:t xml:space="preserve">В связи с этим законопроектом предусмотрено, что </w:t>
            </w:r>
            <w:r w:rsidRPr="0099253D">
              <w:rPr>
                <w:bCs/>
              </w:rPr>
              <w:t>многодетная семья включается органом местного самоуправле</w:t>
            </w:r>
            <w:r>
              <w:rPr>
                <w:bCs/>
              </w:rPr>
              <w:t xml:space="preserve">ния муниципального образования </w:t>
            </w:r>
            <w:r w:rsidRPr="0099253D">
              <w:rPr>
                <w:bCs/>
              </w:rPr>
              <w:t>в реестр в случае, если ей не предоставлял</w:t>
            </w:r>
            <w:r>
              <w:rPr>
                <w:bCs/>
              </w:rPr>
              <w:t xml:space="preserve">ась не только денежная выплата </w:t>
            </w:r>
            <w:r w:rsidRPr="0099253D">
              <w:rPr>
                <w:bCs/>
              </w:rPr>
              <w:t xml:space="preserve">за счет средств областного бюджета, но и единовременная денежная выплата </w:t>
            </w:r>
            <w:r w:rsidRPr="0099253D">
              <w:rPr>
                <w:bCs/>
              </w:rPr>
              <w:br/>
              <w:t>за счет средств местного бюджета муниципального образования (при условии, что такая выплата установлена решением представительного органа соответствующего муниципального образования).</w:t>
            </w:r>
          </w:p>
          <w:p w:rsidR="003F1EE4" w:rsidRPr="0099253D" w:rsidRDefault="003F1EE4" w:rsidP="003F1E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99253D">
              <w:rPr>
                <w:bCs/>
              </w:rPr>
              <w:t xml:space="preserve">Согласно законопроекту орган местного самоуправления муниципального образования принимает решение об исключении многодетной семьи из реестра также в случае, когда данной семье с ее согласия была предоставлена не только денежная выплата за счет средств областного бюджета, но и единовременная денежная выплата за </w:t>
            </w:r>
            <w:r w:rsidRPr="0099253D">
              <w:rPr>
                <w:bCs/>
              </w:rPr>
              <w:lastRenderedPageBreak/>
              <w:t>счет средств местного бюджета муниципального образования (при условии, что такая выплата установлена решением представительного органа соответствующего муниципального образования).</w:t>
            </w:r>
          </w:p>
          <w:p w:rsidR="003F1EE4" w:rsidRPr="00A75CD9" w:rsidRDefault="00A75CD9" w:rsidP="003F1EE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5CD9">
              <w:t>К законопроекту поступила поправка депутата Эммануилова С.Д.</w:t>
            </w:r>
            <w:r>
              <w:t>,</w:t>
            </w:r>
            <w:r w:rsidRPr="00A75CD9">
              <w:t xml:space="preserve"> носящая редакционно-технический характер.</w:t>
            </w:r>
          </w:p>
        </w:tc>
        <w:tc>
          <w:tcPr>
            <w:tcW w:w="2268" w:type="dxa"/>
          </w:tcPr>
          <w:p w:rsidR="003F1EE4" w:rsidRPr="00233A20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33A20">
              <w:rPr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sz w:val="24"/>
                <w:szCs w:val="24"/>
              </w:rPr>
              <w:t>с планом работы комитета на ноябрь</w:t>
            </w:r>
            <w:r w:rsidRPr="00233A20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2766" w:type="dxa"/>
          </w:tcPr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Одобрить поправку </w:t>
            </w:r>
            <w:r w:rsidRPr="00C95462">
              <w:rPr>
                <w:szCs w:val="28"/>
              </w:rPr>
              <w:t>депутата Архангель</w:t>
            </w:r>
            <w:r>
              <w:rPr>
                <w:szCs w:val="28"/>
              </w:rPr>
              <w:t>-</w:t>
            </w:r>
            <w:r w:rsidRPr="00C95462">
              <w:rPr>
                <w:szCs w:val="28"/>
              </w:rPr>
              <w:t>ского областного Собрания деп</w:t>
            </w:r>
            <w:r>
              <w:rPr>
                <w:szCs w:val="28"/>
              </w:rPr>
              <w:t>утатов Эммануилова С.Д., носящую</w:t>
            </w:r>
            <w:r w:rsidRPr="00C95462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>ий характер.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2. Предложить</w:t>
            </w:r>
            <w:r w:rsidRPr="00E96F9E">
              <w:rPr>
                <w:szCs w:val="28"/>
              </w:rPr>
              <w:t xml:space="preserve"> депутатам </w:t>
            </w:r>
            <w:r>
              <w:rPr>
                <w:szCs w:val="28"/>
              </w:rPr>
              <w:t xml:space="preserve">Архангель-ского </w:t>
            </w:r>
            <w:r w:rsidRPr="00E96F9E">
              <w:rPr>
                <w:szCs w:val="28"/>
              </w:rPr>
              <w:t>областного С</w:t>
            </w:r>
            <w:r>
              <w:rPr>
                <w:szCs w:val="28"/>
              </w:rPr>
              <w:t>обрания депутатов принять</w:t>
            </w:r>
            <w:r w:rsidRPr="00E96F9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законопроект </w:t>
            </w:r>
            <w:r w:rsidRPr="00E96F9E">
              <w:rPr>
                <w:szCs w:val="28"/>
              </w:rPr>
              <w:t>во втором</w:t>
            </w:r>
            <w:r w:rsidRPr="00846B84">
              <w:rPr>
                <w:szCs w:val="28"/>
              </w:rPr>
              <w:t xml:space="preserve"> чтении.</w:t>
            </w:r>
          </w:p>
          <w:p w:rsidR="003F1EE4" w:rsidRPr="00233A20" w:rsidRDefault="003F1EE4" w:rsidP="00800D5F">
            <w:pPr>
              <w:pStyle w:val="2"/>
              <w:spacing w:after="0" w:line="240" w:lineRule="auto"/>
              <w:jc w:val="both"/>
            </w:pPr>
            <w:r w:rsidRPr="00233A20">
              <w:t xml:space="preserve">   </w:t>
            </w:r>
          </w:p>
        </w:tc>
      </w:tr>
      <w:tr w:rsidR="003F1EE4" w:rsidRPr="00B27A37" w:rsidTr="00800D5F">
        <w:tc>
          <w:tcPr>
            <w:tcW w:w="534" w:type="dxa"/>
          </w:tcPr>
          <w:p w:rsidR="003F1EE4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3F1EE4" w:rsidRPr="00A75CD9" w:rsidRDefault="00A75CD9" w:rsidP="00A75CD9">
            <w:pPr>
              <w:jc w:val="both"/>
            </w:pPr>
            <w:r w:rsidRPr="00A75CD9">
              <w:rPr>
                <w:color w:val="000000"/>
                <w:lang w:bidi="ru-RU"/>
              </w:rPr>
              <w:t xml:space="preserve"> </w:t>
            </w:r>
            <w:proofErr w:type="gramStart"/>
            <w:r w:rsidRPr="00A75CD9">
              <w:t>Об о</w:t>
            </w:r>
            <w:r w:rsidRPr="00A75CD9">
              <w:rPr>
                <w:color w:val="000000"/>
                <w:lang w:bidi="ru-RU"/>
              </w:rPr>
              <w:t>бращении</w:t>
            </w:r>
            <w:r w:rsidR="007E3031" w:rsidRPr="00C50D0F">
              <w:rPr>
                <w:rStyle w:val="20"/>
                <w:b/>
                <w:sz w:val="28"/>
                <w:szCs w:val="28"/>
              </w:rPr>
              <w:t xml:space="preserve"> </w:t>
            </w:r>
            <w:r w:rsidR="007E3031" w:rsidRPr="007E3031">
              <w:rPr>
                <w:rStyle w:val="a9"/>
                <w:sz w:val="24"/>
                <w:szCs w:val="24"/>
              </w:rPr>
              <w:t>Главы Республики Карелия и</w:t>
            </w:r>
            <w:r w:rsidRPr="007E3031">
              <w:rPr>
                <w:color w:val="000000"/>
                <w:lang w:bidi="ru-RU"/>
              </w:rPr>
              <w:t xml:space="preserve"> </w:t>
            </w:r>
            <w:r w:rsidRPr="00A75CD9">
              <w:rPr>
                <w:color w:val="000000"/>
                <w:lang w:bidi="ru-RU"/>
              </w:rPr>
              <w:t>Законодательного Собрания Республики Карелия к Заместителю Председателя Правительства Рос</w:t>
            </w:r>
            <w:r w:rsidRPr="00A75CD9">
              <w:rPr>
                <w:color w:val="000000"/>
                <w:lang w:bidi="ru-RU"/>
              </w:rPr>
              <w:softHyphen/>
              <w:t>сийской Федерации Голиковой Т.А.</w:t>
            </w:r>
            <w:r w:rsidRPr="00A75CD9">
              <w:rPr>
                <w:bCs/>
              </w:rPr>
              <w:t xml:space="preserve"> и</w:t>
            </w:r>
            <w:r w:rsidRPr="00A75CD9">
              <w:t xml:space="preserve"> </w:t>
            </w:r>
            <w:r w:rsidRPr="00A75CD9">
              <w:rPr>
                <w:rStyle w:val="a9"/>
                <w:sz w:val="24"/>
                <w:szCs w:val="24"/>
              </w:rPr>
              <w:t>Статс-секретарю - заместителю Министра обороны Российской Федерации Панкову Н.А.                    по вопросу внесения изменений в Закон Россий</w:t>
            </w:r>
            <w:r w:rsidRPr="00A75CD9">
              <w:rPr>
                <w:rStyle w:val="a9"/>
                <w:sz w:val="24"/>
                <w:szCs w:val="24"/>
              </w:rPr>
              <w:softHyphen/>
              <w:t>ской Федерации «О пенсионном обеспечении лиц, проходивших военную службу, службу в органах внутренних дел, Государственной противопожар</w:t>
            </w:r>
            <w:r w:rsidRPr="00A75CD9">
              <w:rPr>
                <w:rStyle w:val="a9"/>
                <w:sz w:val="24"/>
                <w:szCs w:val="24"/>
              </w:rPr>
              <w:softHyphen/>
              <w:t>ной службе, органах по контролю                     за оборотом наркотических средств и</w:t>
            </w:r>
            <w:proofErr w:type="gramEnd"/>
            <w:r w:rsidRPr="00A75CD9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Pr="00A75CD9">
              <w:rPr>
                <w:rStyle w:val="a9"/>
                <w:sz w:val="24"/>
                <w:szCs w:val="24"/>
              </w:rPr>
              <w:t xml:space="preserve">психотропных веществ, учреждениях                и </w:t>
            </w:r>
            <w:r w:rsidRPr="00A75CD9">
              <w:rPr>
                <w:rStyle w:val="a9"/>
                <w:sz w:val="24"/>
                <w:szCs w:val="24"/>
              </w:rPr>
              <w:lastRenderedPageBreak/>
              <w:t>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в части сохранения назначенных ранее «военных» пенсий</w:t>
            </w:r>
            <w:r w:rsidRPr="00A75CD9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A75CD9">
              <w:rPr>
                <w:bCs/>
              </w:rPr>
              <w:t xml:space="preserve">постановление </w:t>
            </w:r>
            <w:r w:rsidRPr="00A75CD9">
              <w:rPr>
                <w:color w:val="000000"/>
                <w:lang w:bidi="ru-RU"/>
              </w:rPr>
              <w:t xml:space="preserve">от </w:t>
            </w:r>
            <w:r>
              <w:rPr>
                <w:color w:val="000000"/>
                <w:lang w:bidi="ru-RU"/>
              </w:rPr>
              <w:t xml:space="preserve">            </w:t>
            </w:r>
            <w:r w:rsidRPr="00A75CD9">
              <w:rPr>
                <w:color w:val="000000"/>
                <w:lang w:bidi="ru-RU"/>
              </w:rPr>
              <w:t xml:space="preserve">27 октября 2022 года </w:t>
            </w:r>
            <w:r>
              <w:rPr>
                <w:color w:val="000000"/>
                <w:lang w:bidi="ru-RU"/>
              </w:rPr>
              <w:t xml:space="preserve">              </w:t>
            </w:r>
            <w:r w:rsidRPr="00A75CD9">
              <w:rPr>
                <w:color w:val="000000"/>
                <w:lang w:bidi="ru-RU"/>
              </w:rPr>
              <w:t xml:space="preserve">№ </w:t>
            </w:r>
            <w:r w:rsidRPr="00A75CD9">
              <w:rPr>
                <w:color w:val="000000"/>
                <w:lang w:eastAsia="en-US" w:bidi="en-US"/>
              </w:rPr>
              <w:t>466-</w:t>
            </w:r>
            <w:r w:rsidRPr="00A75CD9">
              <w:rPr>
                <w:color w:val="000000"/>
                <w:lang w:val="en-US" w:eastAsia="en-US" w:bidi="en-US"/>
              </w:rPr>
              <w:t>VII</w:t>
            </w:r>
            <w:r w:rsidRPr="00A75CD9">
              <w:rPr>
                <w:color w:val="000000"/>
                <w:lang w:eastAsia="en-US" w:bidi="en-US"/>
              </w:rPr>
              <w:t xml:space="preserve"> </w:t>
            </w:r>
            <w:r w:rsidRPr="00A75CD9">
              <w:rPr>
                <w:color w:val="000000"/>
                <w:lang w:bidi="ru-RU"/>
              </w:rPr>
              <w:t>ЗС</w:t>
            </w:r>
            <w:r>
              <w:rPr>
                <w:color w:val="000000"/>
                <w:lang w:bidi="ru-RU"/>
              </w:rPr>
              <w:t>)</w:t>
            </w:r>
            <w:r w:rsidRPr="00A75CD9">
              <w:rPr>
                <w:color w:val="000000"/>
                <w:lang w:bidi="ru-RU"/>
              </w:rPr>
              <w:t>.</w:t>
            </w:r>
            <w:proofErr w:type="gramEnd"/>
          </w:p>
        </w:tc>
        <w:tc>
          <w:tcPr>
            <w:tcW w:w="2836" w:type="dxa"/>
          </w:tcPr>
          <w:p w:rsidR="003F1EE4" w:rsidRPr="00BA7EB3" w:rsidRDefault="003F1EE4" w:rsidP="003F1EE4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3F1EE4" w:rsidRPr="008003E2" w:rsidRDefault="003F1EE4" w:rsidP="00800D5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75CD9" w:rsidRPr="00A75CD9" w:rsidRDefault="00A75CD9" w:rsidP="00A75CD9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  </w:t>
            </w:r>
            <w:r w:rsidRPr="00A75CD9">
              <w:rPr>
                <w:rStyle w:val="a9"/>
                <w:sz w:val="24"/>
                <w:szCs w:val="24"/>
              </w:rPr>
              <w:t>Согласно части второй статьи 6 Закона Российской Федерации                              от 12 февраля 1993 года № 4468-1 «О пенсионном обеспечении лиц, проходивших военную службу, службу в органах внутренних дел, Государствен</w:t>
            </w:r>
            <w:r w:rsidRPr="00A75CD9">
              <w:rPr>
                <w:rStyle w:val="a9"/>
                <w:sz w:val="24"/>
                <w:szCs w:val="24"/>
              </w:rPr>
              <w:softHyphen/>
              <w:t>ной противопожарной службе, органах по контролю за оборотом наркоти</w:t>
            </w:r>
            <w:r w:rsidRPr="00A75CD9">
              <w:rPr>
                <w:rStyle w:val="a9"/>
                <w:sz w:val="24"/>
                <w:szCs w:val="24"/>
              </w:rPr>
              <w:softHyphen/>
              <w:t>ческих средств и психотропных веществ, учреждениях и органах уголовно-</w:t>
            </w:r>
            <w:r w:rsidRPr="00A75CD9">
              <w:rPr>
                <w:rStyle w:val="a9"/>
                <w:sz w:val="24"/>
                <w:szCs w:val="24"/>
              </w:rPr>
              <w:softHyphen/>
              <w:t xml:space="preserve">исполнительной системы, войсках национальной гвардии Российской Федерации, органах принудительного исполнения Российской Федерации,                      и их семей» (далее – Закон Российской Федерации № 4468-1) пенсионерам              из числа лиц, имеющих право на пенсионное обеспечение в соответствии                 с указанным Законом, при поступлении их на военную службу или на службу               в органы внутренних дел, в Государственную противопожарную службу               или учреждения и органы уголовно-исполнительной системы (в том </w:t>
            </w:r>
            <w:r w:rsidRPr="00A75CD9">
              <w:rPr>
                <w:rStyle w:val="a9"/>
                <w:sz w:val="24"/>
                <w:szCs w:val="24"/>
              </w:rPr>
              <w:lastRenderedPageBreak/>
              <w:t>числе                в любых других государствах), войска национальной гвардии Российской Федерации, органы принудительного исполнения Российской Федерации выплата назначенных пенсий на время службы приостанавливается.</w:t>
            </w:r>
          </w:p>
          <w:p w:rsidR="00A75CD9" w:rsidRPr="00A75CD9" w:rsidRDefault="00A75CD9" w:rsidP="00A75CD9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  </w:t>
            </w:r>
            <w:r w:rsidRPr="00A75CD9">
              <w:rPr>
                <w:rStyle w:val="a9"/>
                <w:sz w:val="24"/>
                <w:szCs w:val="24"/>
              </w:rPr>
              <w:t>В условиях проведения частичной мобилизации применение данной нормы повлечет приостановление выплаты назначенных пенсий                            для значительного числа «военных» пенсионеров, опыт и знания которых сейчас так востребованы в Вооруженных Силах Российской Федерации в период проведения специальной военной операции, ч</w:t>
            </w:r>
            <w:r>
              <w:rPr>
                <w:rStyle w:val="a9"/>
                <w:sz w:val="24"/>
                <w:szCs w:val="24"/>
              </w:rPr>
              <w:t xml:space="preserve">то приведет, </w:t>
            </w:r>
            <w:r w:rsidRPr="00A75CD9">
              <w:rPr>
                <w:rStyle w:val="a9"/>
                <w:sz w:val="24"/>
                <w:szCs w:val="24"/>
              </w:rPr>
              <w:t>в том числе, и к ухудшению материального положения их семей, нуждающихся в особой поддержке со стороны государства в этот период.</w:t>
            </w:r>
          </w:p>
          <w:p w:rsidR="00A75CD9" w:rsidRPr="00A75CD9" w:rsidRDefault="00A75CD9" w:rsidP="00A75CD9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  </w:t>
            </w:r>
            <w:r w:rsidRPr="00A75CD9">
              <w:rPr>
                <w:rStyle w:val="a9"/>
                <w:sz w:val="24"/>
                <w:szCs w:val="24"/>
              </w:rPr>
              <w:t xml:space="preserve">Депутаты </w:t>
            </w:r>
            <w:r w:rsidRPr="00A75CD9">
              <w:rPr>
                <w:color w:val="000000"/>
                <w:sz w:val="24"/>
                <w:szCs w:val="24"/>
                <w:lang w:bidi="ru-RU"/>
              </w:rPr>
              <w:t>Законодательного Собрания Республики Карелия п</w:t>
            </w:r>
            <w:r w:rsidRPr="00A75CD9">
              <w:rPr>
                <w:rStyle w:val="a9"/>
                <w:sz w:val="24"/>
                <w:szCs w:val="24"/>
              </w:rPr>
              <w:t>редлагают рассмотреть возможность внесения изменений в статью 6 Закона Российской Федерации № 4468-1, с целью обеспечения со</w:t>
            </w:r>
            <w:r w:rsidRPr="00A75CD9">
              <w:rPr>
                <w:rStyle w:val="a9"/>
                <w:sz w:val="24"/>
                <w:szCs w:val="24"/>
              </w:rPr>
              <w:softHyphen/>
              <w:t>хранения выплат уже назначенных «военных» пенсий лицам, призванным на военную службу                  в рамках частичной мобилизации в Вооруженные Силы Российской Федерации.</w:t>
            </w:r>
          </w:p>
          <w:p w:rsidR="003F1EE4" w:rsidRPr="00896657" w:rsidRDefault="003F1EE4" w:rsidP="00800D5F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3F1EE4" w:rsidRPr="00896657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F1EE4" w:rsidRDefault="00A75CD9" w:rsidP="00800D5F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A75CD9" w:rsidRPr="00A75CD9" w:rsidRDefault="00A75CD9" w:rsidP="00800D5F">
            <w:pPr>
              <w:pStyle w:val="2"/>
              <w:spacing w:after="0" w:line="240" w:lineRule="auto"/>
              <w:jc w:val="both"/>
            </w:pPr>
            <w:r w:rsidRPr="00A75CD9">
              <w:t>Предложить депутатам Архангельского областного Собрания депутатов поддержать указанное обращение</w:t>
            </w:r>
            <w:r w:rsidR="007E3031" w:rsidRPr="00C50D0F">
              <w:rPr>
                <w:rStyle w:val="20"/>
                <w:b/>
                <w:sz w:val="28"/>
                <w:szCs w:val="28"/>
              </w:rPr>
              <w:t xml:space="preserve"> </w:t>
            </w:r>
            <w:r w:rsidR="007E3031" w:rsidRPr="007E3031">
              <w:rPr>
                <w:rStyle w:val="a9"/>
                <w:sz w:val="24"/>
                <w:szCs w:val="24"/>
              </w:rPr>
              <w:t>Главы Республики Карелия и</w:t>
            </w:r>
            <w:r w:rsidRPr="00A75CD9">
              <w:rPr>
                <w:color w:val="000000"/>
                <w:lang w:bidi="ru-RU"/>
              </w:rPr>
              <w:t xml:space="preserve"> Законодательного Собрания Республики Карелия.</w:t>
            </w:r>
          </w:p>
        </w:tc>
      </w:tr>
      <w:tr w:rsidR="003F1EE4" w:rsidRPr="00B27A37" w:rsidTr="00800D5F">
        <w:tc>
          <w:tcPr>
            <w:tcW w:w="534" w:type="dxa"/>
          </w:tcPr>
          <w:p w:rsidR="003F1EE4" w:rsidRDefault="003F1EE4" w:rsidP="00800D5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3F1EE4" w:rsidRPr="00834FB3" w:rsidRDefault="003F1EE4" w:rsidP="00800D5F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Почетными грамотами и </w:t>
            </w:r>
            <w:r>
              <w:rPr>
                <w:sz w:val="24"/>
                <w:szCs w:val="24"/>
              </w:rPr>
              <w:lastRenderedPageBreak/>
              <w:t>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3F1EE4" w:rsidRPr="00BA7EB3" w:rsidRDefault="003F1EE4" w:rsidP="00800D5F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 xml:space="preserve">Эммануилов Сергей </w:t>
            </w:r>
            <w:r w:rsidRPr="00AA6FA9">
              <w:lastRenderedPageBreak/>
              <w:t>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3F1EE4" w:rsidRPr="00801659" w:rsidRDefault="003F1EE4" w:rsidP="00800D5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F1EE4" w:rsidRPr="00BA7EB3" w:rsidRDefault="003F1EE4" w:rsidP="00800D5F">
            <w:pPr>
              <w:jc w:val="both"/>
            </w:pPr>
          </w:p>
        </w:tc>
        <w:tc>
          <w:tcPr>
            <w:tcW w:w="2268" w:type="dxa"/>
          </w:tcPr>
          <w:p w:rsidR="003F1EE4" w:rsidRPr="003206AE" w:rsidRDefault="003F1EE4" w:rsidP="00800D5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3F1EE4" w:rsidRPr="00E530F6" w:rsidRDefault="003F1EE4" w:rsidP="00800D5F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1.</w:t>
            </w:r>
            <w:r w:rsidR="00A75CD9">
              <w:t xml:space="preserve"> </w:t>
            </w:r>
            <w:r>
              <w:t xml:space="preserve">Рекомендовать </w:t>
            </w:r>
            <w:r>
              <w:lastRenderedPageBreak/>
              <w:t>наградить Почетной грамотой АОСД: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Афонинскую Т.Е.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Тарнаруцкого Н.В.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Ратуша Д.Н.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Петрову Н.А.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Евдокимову О.Г.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Шнякову Е.Н.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Киселеву Л.Г.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Козицына В.Н.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Ворошилова Ю.А.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Чупову Е.А.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Вологдину Л.С.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Кузину Л.Н.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Трегубову М.В.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Оганян Н.Э.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Фомичеву А.В.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Анциферовой С.Н.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Романовской Л.В.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Сельчук Л.В.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Никитиной Н.П.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Калининой С.В.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Целиковой О.В.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Павловской М.Н.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Урванцевой Т.С.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Толстиковой Г.Р.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Семеновой Е.В.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Малыгиной И.Г.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Шульга Е.М.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Лейних И.В.</w:t>
            </w:r>
          </w:p>
          <w:p w:rsidR="003F1EE4" w:rsidRDefault="003F1EE4" w:rsidP="00800D5F">
            <w:pPr>
              <w:pStyle w:val="2"/>
              <w:spacing w:after="0" w:line="240" w:lineRule="auto"/>
              <w:jc w:val="both"/>
            </w:pPr>
            <w:r>
              <w:t>Малейковой И.И.</w:t>
            </w:r>
          </w:p>
          <w:p w:rsidR="003F1EE4" w:rsidRPr="00B90912" w:rsidRDefault="003F1EE4" w:rsidP="00800D5F">
            <w:pPr>
              <w:pStyle w:val="2"/>
              <w:spacing w:after="0" w:line="240" w:lineRule="auto"/>
              <w:jc w:val="both"/>
            </w:pPr>
          </w:p>
        </w:tc>
      </w:tr>
    </w:tbl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 w:rsidP="003F1EE4"/>
    <w:p w:rsidR="003F1EE4" w:rsidRDefault="003F1EE4"/>
    <w:sectPr w:rsidR="003F1EE4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C1" w:rsidRDefault="000875C1" w:rsidP="00C730FA">
      <w:r>
        <w:separator/>
      </w:r>
    </w:p>
  </w:endnote>
  <w:endnote w:type="continuationSeparator" w:id="0">
    <w:p w:rsidR="000875C1" w:rsidRDefault="000875C1" w:rsidP="00C7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C1" w:rsidRDefault="000875C1" w:rsidP="00C730FA">
      <w:r>
        <w:separator/>
      </w:r>
    </w:p>
  </w:footnote>
  <w:footnote w:type="continuationSeparator" w:id="0">
    <w:p w:rsidR="000875C1" w:rsidRDefault="000875C1" w:rsidP="00C7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2325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1E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7E30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2325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1E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3031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7E30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EE4"/>
    <w:rsid w:val="000875C1"/>
    <w:rsid w:val="0032325A"/>
    <w:rsid w:val="003F1EE4"/>
    <w:rsid w:val="007E3031"/>
    <w:rsid w:val="00890A3C"/>
    <w:rsid w:val="008D567F"/>
    <w:rsid w:val="00A75CD9"/>
    <w:rsid w:val="00C730FA"/>
    <w:rsid w:val="00EB7233"/>
    <w:rsid w:val="00ED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3F1EE4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3F1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1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1EE4"/>
  </w:style>
  <w:style w:type="paragraph" w:styleId="2">
    <w:name w:val="Body Text 2"/>
    <w:basedOn w:val="a"/>
    <w:link w:val="20"/>
    <w:uiPriority w:val="99"/>
    <w:unhideWhenUsed/>
    <w:rsid w:val="003F1E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1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3F1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3F1EE4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3F1E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3F1EE4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3F1EE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3F1EE4"/>
  </w:style>
  <w:style w:type="character" w:customStyle="1" w:styleId="ab">
    <w:name w:val="Без интервала Знак"/>
    <w:link w:val="aa"/>
    <w:uiPriority w:val="1"/>
    <w:locked/>
    <w:rsid w:val="003F1EE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2022-11-11T11:46:00Z</dcterms:created>
  <dcterms:modified xsi:type="dcterms:W3CDTF">2022-11-23T12:36:00Z</dcterms:modified>
</cp:coreProperties>
</file>