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9E5875">
        <w:rPr>
          <w:sz w:val="24"/>
          <w:szCs w:val="24"/>
        </w:rPr>
        <w:t>9</w:t>
      </w:r>
      <w:r>
        <w:rPr>
          <w:sz w:val="24"/>
          <w:szCs w:val="24"/>
        </w:rPr>
        <w:t xml:space="preserve"> от </w:t>
      </w:r>
      <w:r w:rsidR="009E5875">
        <w:rPr>
          <w:sz w:val="24"/>
          <w:szCs w:val="24"/>
        </w:rPr>
        <w:t>22</w:t>
      </w:r>
      <w:r w:rsidR="00AA1E50">
        <w:rPr>
          <w:sz w:val="24"/>
          <w:szCs w:val="24"/>
        </w:rPr>
        <w:t xml:space="preserve"> марта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805EDF">
        <w:rPr>
          <w:sz w:val="24"/>
          <w:szCs w:val="24"/>
        </w:rPr>
        <w:t>1</w:t>
      </w:r>
      <w:r w:rsidR="009E5875">
        <w:rPr>
          <w:sz w:val="24"/>
          <w:szCs w:val="24"/>
        </w:rPr>
        <w:t>2.15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6A1CB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6A1CB5"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9E5875" w:rsidRPr="00001E85" w:rsidTr="00DB6D45">
        <w:trPr>
          <w:trHeight w:val="913"/>
        </w:trPr>
        <w:tc>
          <w:tcPr>
            <w:tcW w:w="588" w:type="dxa"/>
          </w:tcPr>
          <w:p w:rsidR="009E5875" w:rsidRDefault="009E587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9E5875" w:rsidRPr="00194529" w:rsidRDefault="009E5875" w:rsidP="00A82C5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4C3236">
              <w:rPr>
                <w:b/>
                <w:sz w:val="20"/>
              </w:rPr>
              <w:t xml:space="preserve">О проекте областного закона </w:t>
            </w:r>
            <w:r w:rsidRPr="004C3236">
              <w:rPr>
                <w:b/>
                <w:sz w:val="20"/>
              </w:rPr>
              <w:br/>
              <w:t>№ пз</w:t>
            </w:r>
            <w:proofErr w:type="gramStart"/>
            <w:r w:rsidRPr="004C3236">
              <w:rPr>
                <w:b/>
                <w:sz w:val="20"/>
              </w:rPr>
              <w:t>7</w:t>
            </w:r>
            <w:proofErr w:type="gramEnd"/>
            <w:r w:rsidRPr="00194529">
              <w:rPr>
                <w:b/>
                <w:sz w:val="20"/>
              </w:rPr>
              <w:t xml:space="preserve">/522 «О внесении изменений </w:t>
            </w:r>
            <w:r w:rsidRPr="00194529">
              <w:rPr>
                <w:b/>
                <w:sz w:val="20"/>
              </w:rPr>
              <w:br/>
              <w:t>в статьи 4 и 5 областного закона</w:t>
            </w:r>
            <w:r>
              <w:rPr>
                <w:b/>
                <w:sz w:val="20"/>
              </w:rPr>
              <w:br/>
            </w:r>
            <w:r w:rsidRPr="00194529">
              <w:rPr>
                <w:b/>
                <w:sz w:val="20"/>
              </w:rPr>
              <w:t>«О гарантиях осуществления по</w:t>
            </w:r>
            <w:r w:rsidRPr="00194529">
              <w:rPr>
                <w:b/>
                <w:sz w:val="20"/>
              </w:rPr>
              <w:t>л</w:t>
            </w:r>
            <w:r w:rsidRPr="00194529">
              <w:rPr>
                <w:b/>
                <w:sz w:val="20"/>
              </w:rPr>
              <w:t>номочий депутатов представител</w:t>
            </w:r>
            <w:r w:rsidRPr="00194529">
              <w:rPr>
                <w:b/>
                <w:sz w:val="20"/>
              </w:rPr>
              <w:t>ь</w:t>
            </w:r>
            <w:r w:rsidRPr="00194529">
              <w:rPr>
                <w:b/>
                <w:sz w:val="20"/>
              </w:rPr>
              <w:t>ных органов муниципальных обр</w:t>
            </w:r>
            <w:r w:rsidRPr="00194529">
              <w:rPr>
                <w:b/>
                <w:sz w:val="20"/>
              </w:rPr>
              <w:t>а</w:t>
            </w:r>
            <w:r w:rsidRPr="00194529">
              <w:rPr>
                <w:b/>
                <w:sz w:val="20"/>
              </w:rPr>
              <w:t>зований, членов иных выборных органов местного самоуправления, выборных должностных лиц мес</w:t>
            </w:r>
            <w:r w:rsidRPr="00194529">
              <w:rPr>
                <w:b/>
                <w:sz w:val="20"/>
              </w:rPr>
              <w:t>т</w:t>
            </w:r>
            <w:r w:rsidRPr="00194529">
              <w:rPr>
                <w:b/>
                <w:sz w:val="20"/>
              </w:rPr>
              <w:t>ного самоуправления муниципал</w:t>
            </w:r>
            <w:r w:rsidRPr="00194529">
              <w:rPr>
                <w:b/>
                <w:sz w:val="20"/>
              </w:rPr>
              <w:t>ь</w:t>
            </w:r>
            <w:r w:rsidRPr="00194529">
              <w:rPr>
                <w:b/>
                <w:sz w:val="20"/>
              </w:rPr>
              <w:t xml:space="preserve">ных образований Архангельской области» </w:t>
            </w:r>
            <w:r w:rsidRPr="00194529">
              <w:rPr>
                <w:b/>
                <w:i/>
                <w:sz w:val="20"/>
              </w:rPr>
              <w:t>(</w:t>
            </w:r>
            <w:r>
              <w:rPr>
                <w:b/>
                <w:i/>
                <w:sz w:val="20"/>
              </w:rPr>
              <w:t>втор</w:t>
            </w:r>
            <w:r w:rsidRPr="00194529">
              <w:rPr>
                <w:b/>
                <w:i/>
                <w:sz w:val="20"/>
              </w:rPr>
              <w:t>ое чтение)</w:t>
            </w:r>
          </w:p>
        </w:tc>
        <w:tc>
          <w:tcPr>
            <w:tcW w:w="2136" w:type="dxa"/>
          </w:tcPr>
          <w:p w:rsidR="009E5875" w:rsidRDefault="009E5875" w:rsidP="00A82C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 </w:t>
            </w:r>
          </w:p>
          <w:p w:rsidR="009E5875" w:rsidRDefault="009E5875" w:rsidP="00A82C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комитета по закон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дательству и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местного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управления</w:t>
            </w:r>
          </w:p>
          <w:p w:rsidR="009E5875" w:rsidRDefault="009E5875" w:rsidP="00A82C55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outlineLv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9E5875" w:rsidRPr="004C3236" w:rsidRDefault="009E5875" w:rsidP="00A82C5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4C3236">
              <w:rPr>
                <w:sz w:val="20"/>
                <w:szCs w:val="20"/>
              </w:rPr>
              <w:t>Законопроект разработан с учетом позиции обр</w:t>
            </w:r>
            <w:r w:rsidRPr="004C3236">
              <w:rPr>
                <w:sz w:val="20"/>
                <w:szCs w:val="20"/>
              </w:rPr>
              <w:t>а</w:t>
            </w:r>
            <w:r w:rsidRPr="004C3236">
              <w:rPr>
                <w:sz w:val="20"/>
                <w:szCs w:val="20"/>
              </w:rPr>
              <w:t>щения прокуратуры Архангельской области, треб</w:t>
            </w:r>
            <w:r w:rsidRPr="004C3236">
              <w:rPr>
                <w:sz w:val="20"/>
                <w:szCs w:val="20"/>
              </w:rPr>
              <w:t>о</w:t>
            </w:r>
            <w:r w:rsidRPr="004C3236">
              <w:rPr>
                <w:sz w:val="20"/>
                <w:szCs w:val="20"/>
              </w:rPr>
              <w:t xml:space="preserve">ваний федерального и областного законодательства, складывающейся правоприменительной практики </w:t>
            </w:r>
            <w:r w:rsidRPr="004C3236">
              <w:rPr>
                <w:sz w:val="20"/>
                <w:szCs w:val="20"/>
              </w:rPr>
              <w:br/>
              <w:t>и предлагает внести в областной закон от 24.06.2009 № 37-4-ОЗ «О гарантиях осуществления полномочий депутатов представительных органов муниципальных образований, членов иных выборных органов мес</w:t>
            </w:r>
            <w:r w:rsidRPr="004C3236">
              <w:rPr>
                <w:sz w:val="20"/>
                <w:szCs w:val="20"/>
              </w:rPr>
              <w:t>т</w:t>
            </w:r>
            <w:r w:rsidRPr="004C3236">
              <w:rPr>
                <w:sz w:val="20"/>
                <w:szCs w:val="20"/>
              </w:rPr>
              <w:t>ного самоуправления, выборных должностных лиц местного самоуправления муниципальных образов</w:t>
            </w:r>
            <w:r w:rsidRPr="004C3236">
              <w:rPr>
                <w:sz w:val="20"/>
                <w:szCs w:val="20"/>
              </w:rPr>
              <w:t>а</w:t>
            </w:r>
            <w:r w:rsidRPr="004C3236">
              <w:rPr>
                <w:sz w:val="20"/>
                <w:szCs w:val="20"/>
              </w:rPr>
              <w:t xml:space="preserve">ний Архангельской области» следующие изменения: </w:t>
            </w:r>
            <w:proofErr w:type="gramEnd"/>
          </w:p>
          <w:p w:rsidR="009E5875" w:rsidRPr="004C3236" w:rsidRDefault="009E5875" w:rsidP="00A82C5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sz w:val="20"/>
                <w:szCs w:val="20"/>
              </w:rPr>
            </w:pPr>
            <w:proofErr w:type="gramStart"/>
            <w:r w:rsidRPr="004C3236">
              <w:rPr>
                <w:sz w:val="20"/>
                <w:szCs w:val="20"/>
              </w:rPr>
              <w:t xml:space="preserve">В статье 4 областного закона уточняется, </w:t>
            </w:r>
            <w:r>
              <w:rPr>
                <w:sz w:val="20"/>
                <w:szCs w:val="20"/>
              </w:rPr>
              <w:br/>
            </w:r>
            <w:r w:rsidRPr="004C3236">
              <w:rPr>
                <w:sz w:val="20"/>
                <w:szCs w:val="20"/>
              </w:rPr>
              <w:t>что оплата труда выборных лиц местного самоупра</w:t>
            </w:r>
            <w:r w:rsidRPr="004C3236">
              <w:rPr>
                <w:sz w:val="20"/>
                <w:szCs w:val="20"/>
              </w:rPr>
              <w:t>в</w:t>
            </w:r>
            <w:r w:rsidRPr="004C3236">
              <w:rPr>
                <w:sz w:val="20"/>
                <w:szCs w:val="20"/>
              </w:rPr>
              <w:t>ления, осуществляющих свои полномочия на пост</w:t>
            </w:r>
            <w:r w:rsidRPr="004C3236">
              <w:rPr>
                <w:sz w:val="20"/>
                <w:szCs w:val="20"/>
              </w:rPr>
              <w:t>о</w:t>
            </w:r>
            <w:r w:rsidRPr="004C3236">
              <w:rPr>
                <w:sz w:val="20"/>
                <w:szCs w:val="20"/>
              </w:rPr>
              <w:t>янной основе, осуществляется в виде ежемесячного денежного вознаграждения (в фиксированной сумме), увеличенного на районный коэффициент и процен</w:t>
            </w:r>
            <w:r w:rsidRPr="004C3236">
              <w:rPr>
                <w:sz w:val="20"/>
                <w:szCs w:val="20"/>
              </w:rPr>
              <w:t>т</w:t>
            </w:r>
            <w:r w:rsidRPr="004C3236">
              <w:rPr>
                <w:sz w:val="20"/>
                <w:szCs w:val="20"/>
              </w:rPr>
              <w:t>ную надбавку за стаж работы в районах Крайнего Севера и приравненных к ним местностях (в насто</w:t>
            </w:r>
            <w:r w:rsidRPr="004C3236">
              <w:rPr>
                <w:sz w:val="20"/>
                <w:szCs w:val="20"/>
              </w:rPr>
              <w:t>я</w:t>
            </w:r>
            <w:r w:rsidRPr="004C3236">
              <w:rPr>
                <w:sz w:val="20"/>
                <w:szCs w:val="20"/>
              </w:rPr>
              <w:t>щее время – в виде денежного вознаграждения).</w:t>
            </w:r>
            <w:proofErr w:type="gramEnd"/>
          </w:p>
          <w:p w:rsidR="009E5875" w:rsidRPr="004C3236" w:rsidRDefault="009E5875" w:rsidP="00A82C5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sz w:val="20"/>
                <w:szCs w:val="20"/>
              </w:rPr>
            </w:pPr>
            <w:r w:rsidRPr="004C3236">
              <w:rPr>
                <w:sz w:val="20"/>
                <w:szCs w:val="20"/>
              </w:rPr>
              <w:t xml:space="preserve">Из пункта 3 статьи 5 областного закона </w:t>
            </w:r>
            <w:r>
              <w:rPr>
                <w:sz w:val="20"/>
                <w:szCs w:val="20"/>
              </w:rPr>
              <w:br/>
            </w:r>
            <w:r w:rsidRPr="004C3236">
              <w:rPr>
                <w:sz w:val="20"/>
                <w:szCs w:val="20"/>
              </w:rPr>
              <w:t xml:space="preserve">исключаются положения, указывающие, что оплата ежегодного оплачиваемого отпуска выборного лица местного самоуправления, осуществляющего свои полномочия на постоянной основе, осуществляется на условиях и в порядке, предусмотренных </w:t>
            </w:r>
            <w:r w:rsidRPr="004C3236">
              <w:rPr>
                <w:sz w:val="20"/>
                <w:szCs w:val="20"/>
              </w:rPr>
              <w:br/>
              <w:t>для муниципальных служащих в Архангельской о</w:t>
            </w:r>
            <w:r w:rsidRPr="004C3236">
              <w:rPr>
                <w:sz w:val="20"/>
                <w:szCs w:val="20"/>
              </w:rPr>
              <w:t>б</w:t>
            </w:r>
            <w:r w:rsidRPr="004C3236">
              <w:rPr>
                <w:sz w:val="20"/>
                <w:szCs w:val="20"/>
              </w:rPr>
              <w:t>ласти.</w:t>
            </w:r>
          </w:p>
          <w:p w:rsidR="009E5875" w:rsidRPr="004C3236" w:rsidRDefault="009E5875" w:rsidP="00A82C5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sz w:val="20"/>
                <w:szCs w:val="20"/>
              </w:rPr>
            </w:pPr>
            <w:r w:rsidRPr="004C3236">
              <w:rPr>
                <w:sz w:val="20"/>
                <w:szCs w:val="20"/>
              </w:rPr>
              <w:t>В пункте 1 статьи 5 областного закона закр</w:t>
            </w:r>
            <w:r w:rsidRPr="004C3236">
              <w:rPr>
                <w:sz w:val="20"/>
                <w:szCs w:val="20"/>
              </w:rPr>
              <w:t>е</w:t>
            </w:r>
            <w:r w:rsidRPr="004C3236">
              <w:rPr>
                <w:sz w:val="20"/>
                <w:szCs w:val="20"/>
              </w:rPr>
              <w:t>пляется, что выборному лицу местного самоуправл</w:t>
            </w:r>
            <w:r w:rsidRPr="004C3236">
              <w:rPr>
                <w:sz w:val="20"/>
                <w:szCs w:val="20"/>
              </w:rPr>
              <w:t>е</w:t>
            </w:r>
            <w:r w:rsidRPr="004C3236">
              <w:rPr>
                <w:sz w:val="20"/>
                <w:szCs w:val="20"/>
              </w:rPr>
              <w:t xml:space="preserve">ния, осуществляющему свои полномочия </w:t>
            </w:r>
            <w:r w:rsidRPr="004C3236">
              <w:rPr>
                <w:sz w:val="20"/>
                <w:szCs w:val="20"/>
              </w:rPr>
              <w:br/>
              <w:t>на постоянной основе, «предоставляется ежегодный оплачиваемый отпуск с сохранением денежного во</w:t>
            </w:r>
            <w:r w:rsidRPr="004C3236">
              <w:rPr>
                <w:sz w:val="20"/>
                <w:szCs w:val="20"/>
              </w:rPr>
              <w:t>з</w:t>
            </w:r>
            <w:r w:rsidRPr="004C3236">
              <w:rPr>
                <w:sz w:val="20"/>
                <w:szCs w:val="20"/>
              </w:rPr>
              <w:t xml:space="preserve">награждения, размер которого определяется </w:t>
            </w:r>
            <w:r w:rsidRPr="004C3236">
              <w:rPr>
                <w:sz w:val="20"/>
                <w:szCs w:val="20"/>
              </w:rPr>
              <w:br/>
              <w:t>в порядке, установленном трудовым законодательс</w:t>
            </w:r>
            <w:r w:rsidRPr="004C3236">
              <w:rPr>
                <w:sz w:val="20"/>
                <w:szCs w:val="20"/>
              </w:rPr>
              <w:t>т</w:t>
            </w:r>
            <w:r w:rsidRPr="004C3236">
              <w:rPr>
                <w:sz w:val="20"/>
                <w:szCs w:val="20"/>
              </w:rPr>
              <w:t>вом для исчисления средней заработной платы».</w:t>
            </w:r>
          </w:p>
          <w:p w:rsidR="009E5875" w:rsidRPr="004C3236" w:rsidRDefault="009E5875" w:rsidP="00A82C5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sz w:val="20"/>
                <w:szCs w:val="20"/>
              </w:rPr>
            </w:pPr>
            <w:r w:rsidRPr="004C3236">
              <w:rPr>
                <w:sz w:val="20"/>
                <w:szCs w:val="20"/>
              </w:rPr>
              <w:lastRenderedPageBreak/>
              <w:t xml:space="preserve">С учетом действующих норм трудового </w:t>
            </w:r>
            <w:r>
              <w:rPr>
                <w:sz w:val="20"/>
                <w:szCs w:val="20"/>
              </w:rPr>
              <w:br/>
            </w:r>
            <w:r w:rsidRPr="004C3236">
              <w:rPr>
                <w:sz w:val="20"/>
                <w:szCs w:val="20"/>
              </w:rPr>
              <w:t>законодательства, в пунктах 4 и 5 статьи 5 областного закона устанавливается, что «минимальная продо</w:t>
            </w:r>
            <w:r w:rsidRPr="004C3236">
              <w:rPr>
                <w:sz w:val="20"/>
                <w:szCs w:val="20"/>
              </w:rPr>
              <w:t>л</w:t>
            </w:r>
            <w:r w:rsidRPr="004C3236">
              <w:rPr>
                <w:sz w:val="20"/>
                <w:szCs w:val="20"/>
              </w:rPr>
              <w:t xml:space="preserve">жительность ежегодного оплачиваемого отпуска, </w:t>
            </w:r>
            <w:r>
              <w:rPr>
                <w:sz w:val="20"/>
                <w:szCs w:val="20"/>
              </w:rPr>
              <w:br/>
            </w:r>
            <w:r w:rsidRPr="004C3236">
              <w:rPr>
                <w:sz w:val="20"/>
                <w:szCs w:val="20"/>
              </w:rPr>
              <w:t>используемого выборным лицом местного сам</w:t>
            </w:r>
            <w:r w:rsidRPr="004C3236">
              <w:rPr>
                <w:sz w:val="20"/>
                <w:szCs w:val="20"/>
              </w:rPr>
              <w:t>о</w:t>
            </w:r>
            <w:r w:rsidRPr="004C3236">
              <w:rPr>
                <w:sz w:val="20"/>
                <w:szCs w:val="20"/>
              </w:rPr>
              <w:t xml:space="preserve">управления, осуществляющим свои полномочия </w:t>
            </w:r>
            <w:r>
              <w:rPr>
                <w:sz w:val="20"/>
                <w:szCs w:val="20"/>
              </w:rPr>
              <w:br/>
            </w:r>
            <w:r w:rsidRPr="004C3236">
              <w:rPr>
                <w:sz w:val="20"/>
                <w:szCs w:val="20"/>
              </w:rPr>
              <w:t>на постоянной основе, в году, за который предоста</w:t>
            </w:r>
            <w:r w:rsidRPr="004C3236">
              <w:rPr>
                <w:sz w:val="20"/>
                <w:szCs w:val="20"/>
              </w:rPr>
              <w:t>в</w:t>
            </w:r>
            <w:r w:rsidRPr="004C3236">
              <w:rPr>
                <w:sz w:val="20"/>
                <w:szCs w:val="20"/>
              </w:rPr>
              <w:t xml:space="preserve">ляется ежегодный оплачиваемый отпуск, не может быть менее 28 календарных дней». </w:t>
            </w:r>
            <w:proofErr w:type="gramStart"/>
            <w:r w:rsidRPr="004C3236">
              <w:rPr>
                <w:sz w:val="20"/>
                <w:szCs w:val="20"/>
              </w:rPr>
              <w:t>При этом «в и</w:t>
            </w:r>
            <w:r w:rsidRPr="004C3236">
              <w:rPr>
                <w:sz w:val="20"/>
                <w:szCs w:val="20"/>
              </w:rPr>
              <w:t>с</w:t>
            </w:r>
            <w:r w:rsidRPr="004C3236">
              <w:rPr>
                <w:sz w:val="20"/>
                <w:szCs w:val="20"/>
              </w:rPr>
              <w:t>ключительных случаях, если предоставление выбо</w:t>
            </w:r>
            <w:r w:rsidRPr="004C3236">
              <w:rPr>
                <w:sz w:val="20"/>
                <w:szCs w:val="20"/>
              </w:rPr>
              <w:t>р</w:t>
            </w:r>
            <w:r w:rsidRPr="004C3236">
              <w:rPr>
                <w:sz w:val="20"/>
                <w:szCs w:val="20"/>
              </w:rPr>
              <w:t>ному лицу местного самоуправления, осуществля</w:t>
            </w:r>
            <w:r w:rsidRPr="004C3236">
              <w:rPr>
                <w:sz w:val="20"/>
                <w:szCs w:val="20"/>
              </w:rPr>
              <w:t>ю</w:t>
            </w:r>
            <w:r w:rsidRPr="004C3236">
              <w:rPr>
                <w:sz w:val="20"/>
                <w:szCs w:val="20"/>
              </w:rPr>
              <w:t>щему свои полномочия на постоянной основе, еж</w:t>
            </w:r>
            <w:r w:rsidRPr="004C3236">
              <w:rPr>
                <w:sz w:val="20"/>
                <w:szCs w:val="20"/>
              </w:rPr>
              <w:t>е</w:t>
            </w:r>
            <w:r w:rsidRPr="004C3236">
              <w:rPr>
                <w:sz w:val="20"/>
                <w:szCs w:val="20"/>
              </w:rPr>
              <w:t>годного оплачиваемого отпуска общей продолж</w:t>
            </w:r>
            <w:r w:rsidRPr="004C3236">
              <w:rPr>
                <w:sz w:val="20"/>
                <w:szCs w:val="20"/>
              </w:rPr>
              <w:t>и</w:t>
            </w:r>
            <w:r w:rsidRPr="004C3236">
              <w:rPr>
                <w:sz w:val="20"/>
                <w:szCs w:val="20"/>
              </w:rPr>
              <w:t xml:space="preserve">тельностью, исчисленной в соответствии с </w:t>
            </w:r>
            <w:hyperlink r:id="rId8" w:history="1">
              <w:r w:rsidRPr="004C3236">
                <w:rPr>
                  <w:sz w:val="20"/>
                  <w:szCs w:val="20"/>
                </w:rPr>
                <w:t>пунктом 3</w:t>
              </w:r>
            </w:hyperlink>
            <w:r w:rsidRPr="004C3236">
              <w:rPr>
                <w:sz w:val="20"/>
                <w:szCs w:val="20"/>
              </w:rPr>
              <w:t xml:space="preserve"> настоящей статьи, в текущем году может неблаг</w:t>
            </w:r>
            <w:r w:rsidRPr="004C3236">
              <w:rPr>
                <w:sz w:val="20"/>
                <w:szCs w:val="20"/>
              </w:rPr>
              <w:t>о</w:t>
            </w:r>
            <w:r w:rsidRPr="004C3236">
              <w:rPr>
                <w:sz w:val="20"/>
                <w:szCs w:val="20"/>
              </w:rPr>
              <w:t>приятно отразиться на осуществлении задач и фун</w:t>
            </w:r>
            <w:r w:rsidRPr="004C3236">
              <w:rPr>
                <w:sz w:val="20"/>
                <w:szCs w:val="20"/>
              </w:rPr>
              <w:t>к</w:t>
            </w:r>
            <w:r w:rsidRPr="004C3236">
              <w:rPr>
                <w:sz w:val="20"/>
                <w:szCs w:val="20"/>
              </w:rPr>
              <w:t>ций органа местного самоуправления или на осущ</w:t>
            </w:r>
            <w:r w:rsidRPr="004C3236">
              <w:rPr>
                <w:sz w:val="20"/>
                <w:szCs w:val="20"/>
              </w:rPr>
              <w:t>е</w:t>
            </w:r>
            <w:r w:rsidRPr="004C3236">
              <w:rPr>
                <w:sz w:val="20"/>
                <w:szCs w:val="20"/>
              </w:rPr>
              <w:t>ствлении его полномочий, допускается перенесение части ежегодного оплачиваемого отпуска, прев</w:t>
            </w:r>
            <w:r w:rsidRPr="004C3236">
              <w:rPr>
                <w:sz w:val="20"/>
                <w:szCs w:val="20"/>
              </w:rPr>
              <w:t>ы</w:t>
            </w:r>
            <w:r w:rsidRPr="004C3236">
              <w:rPr>
                <w:sz w:val="20"/>
                <w:szCs w:val="20"/>
              </w:rPr>
              <w:t xml:space="preserve">шающей </w:t>
            </w:r>
            <w:r>
              <w:rPr>
                <w:sz w:val="20"/>
                <w:szCs w:val="20"/>
              </w:rPr>
              <w:t>2</w:t>
            </w:r>
            <w:r w:rsidRPr="004C3236">
              <w:rPr>
                <w:sz w:val="20"/>
                <w:szCs w:val="20"/>
              </w:rPr>
              <w:t>8 календарных дней, на</w:t>
            </w:r>
            <w:proofErr w:type="gramEnd"/>
            <w:r w:rsidRPr="004C3236">
              <w:rPr>
                <w:sz w:val="20"/>
                <w:szCs w:val="20"/>
              </w:rPr>
              <w:t xml:space="preserve"> следующий год». </w:t>
            </w:r>
          </w:p>
          <w:p w:rsidR="009E5875" w:rsidRDefault="009E5875" w:rsidP="00A82C5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sz w:val="20"/>
                <w:szCs w:val="20"/>
              </w:rPr>
            </w:pPr>
            <w:r w:rsidRPr="004C3236">
              <w:rPr>
                <w:sz w:val="20"/>
                <w:szCs w:val="20"/>
              </w:rPr>
              <w:t>В пункте 6 статьи 5 областного закона опр</w:t>
            </w:r>
            <w:r w:rsidRPr="004C3236">
              <w:rPr>
                <w:sz w:val="20"/>
                <w:szCs w:val="20"/>
              </w:rPr>
              <w:t>е</w:t>
            </w:r>
            <w:r w:rsidRPr="004C3236">
              <w:rPr>
                <w:sz w:val="20"/>
                <w:szCs w:val="20"/>
              </w:rPr>
              <w:t>деляется, что «часть ежегодного оплачиваемого о</w:t>
            </w:r>
            <w:r w:rsidRPr="004C3236">
              <w:rPr>
                <w:sz w:val="20"/>
                <w:szCs w:val="20"/>
              </w:rPr>
              <w:t>т</w:t>
            </w:r>
            <w:r w:rsidRPr="004C3236">
              <w:rPr>
                <w:sz w:val="20"/>
                <w:szCs w:val="20"/>
              </w:rPr>
              <w:t xml:space="preserve">пуска, превышающая 28 календарных дней, </w:t>
            </w:r>
            <w:r w:rsidRPr="004C3236">
              <w:rPr>
                <w:sz w:val="20"/>
                <w:szCs w:val="20"/>
              </w:rPr>
              <w:br/>
              <w:t>или любое количество дней из этой части по пис</w:t>
            </w:r>
            <w:r w:rsidRPr="004C3236">
              <w:rPr>
                <w:sz w:val="20"/>
                <w:szCs w:val="20"/>
              </w:rPr>
              <w:t>ь</w:t>
            </w:r>
            <w:r w:rsidRPr="004C3236">
              <w:rPr>
                <w:sz w:val="20"/>
                <w:szCs w:val="20"/>
              </w:rPr>
              <w:t>менному заявлению выборного лица местного сам</w:t>
            </w:r>
            <w:r w:rsidRPr="004C3236">
              <w:rPr>
                <w:sz w:val="20"/>
                <w:szCs w:val="20"/>
              </w:rPr>
              <w:t>о</w:t>
            </w:r>
            <w:r w:rsidRPr="004C3236">
              <w:rPr>
                <w:sz w:val="20"/>
                <w:szCs w:val="20"/>
              </w:rPr>
              <w:t>управления, осуществляющего свои полномочия на постоянной основе, могут быть заменены денежной компенсацией». С учетом правоприменительной практики предлагается установить, что «денежная компенсация, указанная в абзаце первом настоящего пункта, должна быть использована не позднее 12 м</w:t>
            </w:r>
            <w:r w:rsidRPr="004C3236">
              <w:rPr>
                <w:sz w:val="20"/>
                <w:szCs w:val="20"/>
              </w:rPr>
              <w:t>е</w:t>
            </w:r>
            <w:r w:rsidRPr="004C3236">
              <w:rPr>
                <w:sz w:val="20"/>
                <w:szCs w:val="20"/>
              </w:rPr>
              <w:t>сяцев после окончания того года, за который предо</w:t>
            </w:r>
            <w:r w:rsidRPr="004C3236">
              <w:rPr>
                <w:sz w:val="20"/>
                <w:szCs w:val="20"/>
              </w:rPr>
              <w:t>с</w:t>
            </w:r>
            <w:r w:rsidRPr="004C3236">
              <w:rPr>
                <w:sz w:val="20"/>
                <w:szCs w:val="20"/>
              </w:rPr>
              <w:t xml:space="preserve">тавляется ежегодный оплачиваемый отпуск». </w:t>
            </w:r>
          </w:p>
          <w:p w:rsidR="009E5875" w:rsidRPr="009C5EEC" w:rsidRDefault="009E5875" w:rsidP="00A82C55">
            <w:pPr>
              <w:pStyle w:val="ConsPlusNormal"/>
              <w:ind w:firstLine="209"/>
              <w:jc w:val="both"/>
            </w:pPr>
            <w:r>
              <w:rPr>
                <w:rFonts w:ascii="Times New Roman" w:hAnsi="Times New Roman" w:cs="Times New Roman"/>
              </w:rPr>
              <w:t xml:space="preserve">К законопроекту </w:t>
            </w:r>
            <w:r w:rsidRPr="005B1751">
              <w:rPr>
                <w:rFonts w:ascii="Times New Roman" w:hAnsi="Times New Roman" w:cs="Times New Roman"/>
              </w:rPr>
              <w:t>поступили три поправки: две п</w:t>
            </w:r>
            <w:r w:rsidRPr="005B1751">
              <w:rPr>
                <w:rFonts w:ascii="Times New Roman" w:hAnsi="Times New Roman" w:cs="Times New Roman"/>
              </w:rPr>
              <w:t>о</w:t>
            </w:r>
            <w:r w:rsidRPr="005B1751">
              <w:rPr>
                <w:rFonts w:ascii="Times New Roman" w:hAnsi="Times New Roman" w:cs="Times New Roman"/>
              </w:rPr>
              <w:t xml:space="preserve">правки Губернатора Архангельской области </w:t>
            </w:r>
            <w:r>
              <w:rPr>
                <w:rFonts w:ascii="Times New Roman" w:hAnsi="Times New Roman" w:cs="Times New Roman"/>
              </w:rPr>
              <w:t>Цыбул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ского А.В. </w:t>
            </w:r>
            <w:r w:rsidRPr="005B1751">
              <w:rPr>
                <w:rFonts w:ascii="Times New Roman" w:hAnsi="Times New Roman" w:cs="Times New Roman"/>
              </w:rPr>
              <w:t xml:space="preserve">и поправка депутата </w:t>
            </w:r>
            <w:r>
              <w:rPr>
                <w:rFonts w:ascii="Times New Roman" w:hAnsi="Times New Roman" w:cs="Times New Roman"/>
              </w:rPr>
              <w:t xml:space="preserve">Архангельского </w:t>
            </w:r>
            <w:r w:rsidRPr="005B1751">
              <w:rPr>
                <w:rFonts w:ascii="Times New Roman" w:hAnsi="Times New Roman" w:cs="Times New Roman"/>
              </w:rPr>
              <w:t>обл</w:t>
            </w:r>
            <w:r w:rsidRPr="005B1751">
              <w:rPr>
                <w:rFonts w:ascii="Times New Roman" w:hAnsi="Times New Roman" w:cs="Times New Roman"/>
              </w:rPr>
              <w:t>а</w:t>
            </w:r>
            <w:r w:rsidRPr="005B1751">
              <w:rPr>
                <w:rFonts w:ascii="Times New Roman" w:hAnsi="Times New Roman" w:cs="Times New Roman"/>
              </w:rPr>
              <w:t>стного Собрания</w:t>
            </w:r>
            <w:r>
              <w:rPr>
                <w:rFonts w:ascii="Times New Roman" w:hAnsi="Times New Roman" w:cs="Times New Roman"/>
              </w:rPr>
              <w:t xml:space="preserve"> депутатов</w:t>
            </w:r>
            <w:r w:rsidRPr="005B1751">
              <w:rPr>
                <w:rFonts w:ascii="Times New Roman" w:hAnsi="Times New Roman" w:cs="Times New Roman"/>
              </w:rPr>
              <w:t xml:space="preserve"> Чеснокова И.А.</w:t>
            </w:r>
            <w:r w:rsidRPr="00A74F16">
              <w:rPr>
                <w:rFonts w:ascii="Times New Roman" w:hAnsi="Times New Roman" w:cs="Times New Roman"/>
              </w:rPr>
              <w:t xml:space="preserve">  </w:t>
            </w:r>
            <w:r w:rsidRPr="009C5EEC">
              <w:t xml:space="preserve"> </w:t>
            </w:r>
          </w:p>
        </w:tc>
        <w:tc>
          <w:tcPr>
            <w:tcW w:w="2268" w:type="dxa"/>
          </w:tcPr>
          <w:p w:rsidR="009E5875" w:rsidRDefault="009E5875" w:rsidP="00A82C55">
            <w:pPr>
              <w:jc w:val="center"/>
            </w:pPr>
            <w:r w:rsidRPr="002733C6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9E5875" w:rsidRPr="00D85B4F" w:rsidRDefault="00A4395A" w:rsidP="00A82C55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рассмо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реть законопроект и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нять закон во втором чт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нии </w:t>
            </w:r>
            <w:r w:rsidR="008546E3">
              <w:rPr>
                <w:color w:val="000000"/>
                <w:sz w:val="20"/>
              </w:rPr>
              <w:t>на очередной 24-й се</w:t>
            </w:r>
            <w:r w:rsidR="008546E3">
              <w:rPr>
                <w:color w:val="000000"/>
                <w:sz w:val="20"/>
              </w:rPr>
              <w:t>с</w:t>
            </w:r>
            <w:r w:rsidR="008546E3">
              <w:rPr>
                <w:color w:val="000000"/>
                <w:sz w:val="20"/>
              </w:rPr>
              <w:t>сии Архангельского обл</w:t>
            </w:r>
            <w:r w:rsidR="008546E3">
              <w:rPr>
                <w:color w:val="000000"/>
                <w:sz w:val="20"/>
              </w:rPr>
              <w:t>а</w:t>
            </w:r>
            <w:r w:rsidR="008546E3">
              <w:rPr>
                <w:color w:val="000000"/>
                <w:sz w:val="20"/>
              </w:rPr>
              <w:t xml:space="preserve">стного Собрания депутатов </w:t>
            </w:r>
            <w:r>
              <w:rPr>
                <w:sz w:val="20"/>
              </w:rPr>
              <w:t>с учетом поправок, одо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ренных комитетом.</w:t>
            </w:r>
          </w:p>
        </w:tc>
      </w:tr>
      <w:tr w:rsidR="009E5875" w:rsidRPr="004B59C2" w:rsidTr="005C0E52">
        <w:trPr>
          <w:trHeight w:val="218"/>
        </w:trPr>
        <w:tc>
          <w:tcPr>
            <w:tcW w:w="588" w:type="dxa"/>
          </w:tcPr>
          <w:p w:rsidR="009E5875" w:rsidRPr="004B59C2" w:rsidRDefault="009E587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Pr="004B59C2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9E5875" w:rsidRPr="00E03B78" w:rsidRDefault="009E5875" w:rsidP="00BE405F">
            <w:pPr>
              <w:pStyle w:val="1"/>
              <w:autoSpaceDE w:val="0"/>
              <w:autoSpaceDN w:val="0"/>
              <w:adjustRightInd w:val="0"/>
              <w:ind w:right="-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 поддержке проектов федерал</w:t>
            </w:r>
            <w:r>
              <w:rPr>
                <w:color w:val="000000"/>
                <w:sz w:val="20"/>
              </w:rPr>
              <w:t>ь</w:t>
            </w:r>
            <w:r>
              <w:rPr>
                <w:color w:val="000000"/>
                <w:sz w:val="20"/>
              </w:rPr>
              <w:t>ных законов, инициатив и обращ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 xml:space="preserve">ний органов государственной           власти субъектов Российской </w:t>
            </w:r>
            <w:r>
              <w:rPr>
                <w:color w:val="000000"/>
                <w:sz w:val="20"/>
              </w:rPr>
              <w:br/>
              <w:t>Федерации</w:t>
            </w:r>
          </w:p>
        </w:tc>
        <w:tc>
          <w:tcPr>
            <w:tcW w:w="2136" w:type="dxa"/>
          </w:tcPr>
          <w:p w:rsidR="009E5875" w:rsidRDefault="009E5875" w:rsidP="00BE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дателя комитета </w:t>
            </w:r>
            <w:r>
              <w:rPr>
                <w:sz w:val="20"/>
              </w:rPr>
              <w:br/>
              <w:t xml:space="preserve">по законодательству </w:t>
            </w:r>
            <w:r>
              <w:rPr>
                <w:sz w:val="20"/>
              </w:rPr>
              <w:br/>
              <w:t xml:space="preserve">и вопросам местного самоуправления </w:t>
            </w:r>
          </w:p>
          <w:p w:rsidR="009E5875" w:rsidRDefault="009E5875" w:rsidP="00BE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Шерягин В.Г.</w:t>
            </w:r>
          </w:p>
          <w:p w:rsidR="009E5875" w:rsidRDefault="009E5875" w:rsidP="00BE405F">
            <w:pPr>
              <w:jc w:val="center"/>
              <w:rPr>
                <w:sz w:val="20"/>
              </w:rPr>
            </w:pPr>
          </w:p>
        </w:tc>
        <w:tc>
          <w:tcPr>
            <w:tcW w:w="4853" w:type="dxa"/>
          </w:tcPr>
          <w:p w:rsidR="00A4395A" w:rsidRPr="00A4395A" w:rsidRDefault="00A4395A" w:rsidP="00A4395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4395A">
              <w:rPr>
                <w:sz w:val="20"/>
                <w:szCs w:val="20"/>
              </w:rPr>
              <w:t xml:space="preserve">роект федерального закона № 1120845-7 </w:t>
            </w:r>
            <w:r w:rsidRPr="00A4395A">
              <w:rPr>
                <w:sz w:val="20"/>
                <w:szCs w:val="20"/>
              </w:rPr>
              <w:br/>
              <w:t xml:space="preserve">«О внесении изменений в Федеральный закон </w:t>
            </w:r>
            <w:r>
              <w:rPr>
                <w:sz w:val="20"/>
                <w:szCs w:val="20"/>
              </w:rPr>
              <w:br/>
            </w:r>
            <w:r w:rsidRPr="00A4395A">
              <w:rPr>
                <w:sz w:val="20"/>
                <w:szCs w:val="20"/>
              </w:rPr>
              <w:t xml:space="preserve">«О защите населения и территорий от чрезвычайных ситуаций природного и техногенного характера» </w:t>
            </w:r>
            <w:r>
              <w:rPr>
                <w:sz w:val="20"/>
                <w:szCs w:val="20"/>
              </w:rPr>
              <w:br/>
            </w:r>
            <w:r w:rsidRPr="00A4395A">
              <w:rPr>
                <w:sz w:val="20"/>
                <w:szCs w:val="20"/>
              </w:rPr>
              <w:t xml:space="preserve">(в части повышения оперативности реагирования </w:t>
            </w:r>
            <w:r w:rsidR="00683216">
              <w:rPr>
                <w:sz w:val="20"/>
                <w:szCs w:val="20"/>
              </w:rPr>
              <w:br/>
            </w:r>
            <w:r w:rsidRPr="00A4395A">
              <w:rPr>
                <w:sz w:val="20"/>
                <w:szCs w:val="20"/>
              </w:rPr>
              <w:t>на чрезвычайные ситуации) внесен Правительством Российской Федерации.</w:t>
            </w:r>
          </w:p>
          <w:p w:rsidR="00A4395A" w:rsidRPr="00A4395A" w:rsidRDefault="00C22213" w:rsidP="00A4395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hyperlink r:id="rId9" w:history="1">
              <w:r w:rsidR="00A4395A" w:rsidRPr="00A4395A">
                <w:rPr>
                  <w:sz w:val="20"/>
                  <w:szCs w:val="20"/>
                </w:rPr>
                <w:t>Проектом</w:t>
              </w:r>
            </w:hyperlink>
            <w:r w:rsidR="00A4395A" w:rsidRPr="00A4395A">
              <w:rPr>
                <w:sz w:val="20"/>
                <w:szCs w:val="20"/>
              </w:rPr>
              <w:t xml:space="preserve"> федерального закона устанавливается </w:t>
            </w:r>
            <w:r w:rsidR="00A4395A" w:rsidRPr="00A4395A">
              <w:rPr>
                <w:sz w:val="20"/>
                <w:szCs w:val="20"/>
              </w:rPr>
              <w:lastRenderedPageBreak/>
              <w:t>обязанность для федеральных органов исполнител</w:t>
            </w:r>
            <w:r w:rsidR="00A4395A" w:rsidRPr="00A4395A">
              <w:rPr>
                <w:sz w:val="20"/>
                <w:szCs w:val="20"/>
              </w:rPr>
              <w:t>ь</w:t>
            </w:r>
            <w:r w:rsidR="00A4395A" w:rsidRPr="00A4395A">
              <w:rPr>
                <w:sz w:val="20"/>
                <w:szCs w:val="20"/>
              </w:rPr>
              <w:t xml:space="preserve">ной власти по обеспечению постоянного доступа МЧС России к информационным системам в рамках единой государственной системы предупреждения </w:t>
            </w:r>
            <w:r w:rsidR="00A4395A">
              <w:rPr>
                <w:sz w:val="20"/>
                <w:szCs w:val="20"/>
              </w:rPr>
              <w:br/>
            </w:r>
            <w:r w:rsidR="00A4395A" w:rsidRPr="00A4395A">
              <w:rPr>
                <w:sz w:val="20"/>
                <w:szCs w:val="20"/>
              </w:rPr>
              <w:t>и ликвидации чрезвычайных ситуаций (далее - РСЧС) на безвозмездной основе в целях своевременного ре</w:t>
            </w:r>
            <w:r w:rsidR="00A4395A" w:rsidRPr="00A4395A">
              <w:rPr>
                <w:sz w:val="20"/>
                <w:szCs w:val="20"/>
              </w:rPr>
              <w:t>а</w:t>
            </w:r>
            <w:r w:rsidR="00A4395A" w:rsidRPr="00A4395A">
              <w:rPr>
                <w:sz w:val="20"/>
                <w:szCs w:val="20"/>
              </w:rPr>
              <w:t>гирования на чрезвычайные ситуации.</w:t>
            </w:r>
          </w:p>
          <w:p w:rsidR="00A4395A" w:rsidRPr="00A4395A" w:rsidRDefault="00A4395A" w:rsidP="00A4395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4395A">
              <w:rPr>
                <w:sz w:val="20"/>
                <w:szCs w:val="20"/>
              </w:rPr>
              <w:t>Также устанавливается обязанность для должнос</w:t>
            </w:r>
            <w:r w:rsidRPr="00A4395A">
              <w:rPr>
                <w:sz w:val="20"/>
                <w:szCs w:val="20"/>
              </w:rPr>
              <w:t>т</w:t>
            </w:r>
            <w:r w:rsidRPr="00A4395A">
              <w:rPr>
                <w:sz w:val="20"/>
                <w:szCs w:val="20"/>
              </w:rPr>
              <w:t>ных лиц и организаций по своевременному предста</w:t>
            </w:r>
            <w:r w:rsidRPr="00A4395A">
              <w:rPr>
                <w:sz w:val="20"/>
                <w:szCs w:val="20"/>
              </w:rPr>
              <w:t>в</w:t>
            </w:r>
            <w:r w:rsidRPr="00A4395A">
              <w:rPr>
                <w:sz w:val="20"/>
                <w:szCs w:val="20"/>
              </w:rPr>
              <w:t xml:space="preserve">лению в органы управления РСЧС в установленном порядке информации в области защиты населения </w:t>
            </w:r>
            <w:r w:rsidRPr="00A4395A">
              <w:rPr>
                <w:sz w:val="20"/>
                <w:szCs w:val="20"/>
              </w:rPr>
              <w:br/>
              <w:t>и территорий от чрезвычайных ситуаций природного и техногенного характера.</w:t>
            </w:r>
          </w:p>
          <w:p w:rsidR="00A4395A" w:rsidRPr="00A4395A" w:rsidRDefault="00A4395A" w:rsidP="00A4395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A4395A">
              <w:rPr>
                <w:sz w:val="20"/>
                <w:szCs w:val="20"/>
              </w:rPr>
              <w:t>В целях более оперативного реагирования и оказ</w:t>
            </w:r>
            <w:r w:rsidRPr="00A4395A">
              <w:rPr>
                <w:sz w:val="20"/>
                <w:szCs w:val="20"/>
              </w:rPr>
              <w:t>а</w:t>
            </w:r>
            <w:r w:rsidRPr="00A4395A">
              <w:rPr>
                <w:sz w:val="20"/>
                <w:szCs w:val="20"/>
              </w:rPr>
              <w:t>ния своевременной поддержки населению предлаг</w:t>
            </w:r>
            <w:r w:rsidRPr="00A4395A">
              <w:rPr>
                <w:sz w:val="20"/>
                <w:szCs w:val="20"/>
              </w:rPr>
              <w:t>а</w:t>
            </w:r>
            <w:r w:rsidRPr="00A4395A">
              <w:rPr>
                <w:sz w:val="20"/>
                <w:szCs w:val="20"/>
              </w:rPr>
              <w:t xml:space="preserve">ется наделить Правительственную комиссию </w:t>
            </w:r>
            <w:r w:rsidRPr="00A4395A">
              <w:rPr>
                <w:sz w:val="20"/>
                <w:szCs w:val="20"/>
              </w:rPr>
              <w:br/>
              <w:t>по предупреждению и ликвидации чрезвычайных ситуаций и обеспечению пожарной безопасности, комиссии по предупреждению и ликвидации чрезв</w:t>
            </w:r>
            <w:r w:rsidRPr="00A4395A">
              <w:rPr>
                <w:sz w:val="20"/>
                <w:szCs w:val="20"/>
              </w:rPr>
              <w:t>ы</w:t>
            </w:r>
            <w:r w:rsidRPr="00A4395A">
              <w:rPr>
                <w:sz w:val="20"/>
                <w:szCs w:val="20"/>
              </w:rPr>
              <w:t>чайных ситуаций и обеспечению пожарной безопа</w:t>
            </w:r>
            <w:r w:rsidRPr="00A4395A">
              <w:rPr>
                <w:sz w:val="20"/>
                <w:szCs w:val="20"/>
              </w:rPr>
              <w:t>с</w:t>
            </w:r>
            <w:r w:rsidRPr="00A4395A">
              <w:rPr>
                <w:sz w:val="20"/>
                <w:szCs w:val="20"/>
              </w:rPr>
              <w:t xml:space="preserve">ности субъектов Российской Федерации, комиссии </w:t>
            </w:r>
            <w:r w:rsidR="00683216">
              <w:rPr>
                <w:sz w:val="20"/>
                <w:szCs w:val="20"/>
              </w:rPr>
              <w:br/>
            </w:r>
            <w:r w:rsidRPr="00A4395A">
              <w:rPr>
                <w:sz w:val="20"/>
                <w:szCs w:val="20"/>
              </w:rPr>
              <w:t>по предупреждению и ликвидации чрезвычайных ситуаций и обеспечению пожарной безопасности м</w:t>
            </w:r>
            <w:r w:rsidRPr="00A4395A">
              <w:rPr>
                <w:sz w:val="20"/>
                <w:szCs w:val="20"/>
              </w:rPr>
              <w:t>у</w:t>
            </w:r>
            <w:r w:rsidRPr="00A4395A">
              <w:rPr>
                <w:sz w:val="20"/>
                <w:szCs w:val="20"/>
              </w:rPr>
              <w:t>ниципальных образований и комиссии по предупр</w:t>
            </w:r>
            <w:r w:rsidRPr="00A4395A">
              <w:rPr>
                <w:sz w:val="20"/>
                <w:szCs w:val="20"/>
              </w:rPr>
              <w:t>е</w:t>
            </w:r>
            <w:r w:rsidRPr="00A4395A">
              <w:rPr>
                <w:sz w:val="20"/>
                <w:szCs w:val="20"/>
              </w:rPr>
              <w:t xml:space="preserve">ждению и ликвидации чрезвычайных ситуаций </w:t>
            </w:r>
            <w:r w:rsidR="00683216">
              <w:rPr>
                <w:sz w:val="20"/>
                <w:szCs w:val="20"/>
              </w:rPr>
              <w:br/>
            </w:r>
            <w:r w:rsidRPr="00A4395A">
              <w:rPr>
                <w:sz w:val="20"/>
                <w:szCs w:val="20"/>
              </w:rPr>
              <w:t>и</w:t>
            </w:r>
            <w:proofErr w:type="gramEnd"/>
            <w:r w:rsidRPr="00A4395A">
              <w:rPr>
                <w:sz w:val="20"/>
                <w:szCs w:val="20"/>
              </w:rPr>
              <w:t xml:space="preserve"> обеспечению пожарной безопасности организаций полномочиями по принятию решения о проведении эвакуационных мероприятий при угрозе возникнов</w:t>
            </w:r>
            <w:r w:rsidRPr="00A4395A">
              <w:rPr>
                <w:sz w:val="20"/>
                <w:szCs w:val="20"/>
              </w:rPr>
              <w:t>е</w:t>
            </w:r>
            <w:r w:rsidRPr="00A4395A">
              <w:rPr>
                <w:sz w:val="20"/>
                <w:szCs w:val="20"/>
              </w:rPr>
              <w:t>ния или возникновении чрезвычайной ситуации.</w:t>
            </w:r>
          </w:p>
          <w:p w:rsidR="00A4395A" w:rsidRPr="00A4395A" w:rsidRDefault="00A4395A" w:rsidP="00A4395A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A4395A">
              <w:rPr>
                <w:sz w:val="20"/>
                <w:szCs w:val="20"/>
              </w:rPr>
              <w:t>Проектом федерального закона предусматривается введение обязанности для граждан Российской Фед</w:t>
            </w:r>
            <w:r w:rsidRPr="00A4395A">
              <w:rPr>
                <w:sz w:val="20"/>
                <w:szCs w:val="20"/>
              </w:rPr>
              <w:t>е</w:t>
            </w:r>
            <w:r w:rsidRPr="00A4395A">
              <w:rPr>
                <w:sz w:val="20"/>
                <w:szCs w:val="20"/>
              </w:rPr>
              <w:t xml:space="preserve">рации эвакуироваться с территории, на которой </w:t>
            </w:r>
            <w:r>
              <w:rPr>
                <w:sz w:val="20"/>
                <w:szCs w:val="20"/>
              </w:rPr>
              <w:br/>
            </w:r>
            <w:r w:rsidRPr="00A4395A">
              <w:rPr>
                <w:sz w:val="20"/>
                <w:szCs w:val="20"/>
              </w:rPr>
              <w:t xml:space="preserve">существует угроза возникновения чрезвычайной </w:t>
            </w:r>
            <w:r>
              <w:rPr>
                <w:sz w:val="20"/>
                <w:szCs w:val="20"/>
              </w:rPr>
              <w:br/>
            </w:r>
            <w:r w:rsidRPr="00A4395A">
              <w:rPr>
                <w:sz w:val="20"/>
                <w:szCs w:val="20"/>
              </w:rPr>
              <w:t>ситуации, или из зоны чрезвычайной ситуации с м</w:t>
            </w:r>
            <w:r w:rsidRPr="00A4395A">
              <w:rPr>
                <w:sz w:val="20"/>
                <w:szCs w:val="20"/>
              </w:rPr>
              <w:t>о</w:t>
            </w:r>
            <w:r w:rsidRPr="00A4395A">
              <w:rPr>
                <w:sz w:val="20"/>
                <w:szCs w:val="20"/>
              </w:rPr>
              <w:t>мента получения информации о проведении эваку</w:t>
            </w:r>
            <w:r w:rsidRPr="00A4395A">
              <w:rPr>
                <w:sz w:val="20"/>
                <w:szCs w:val="20"/>
              </w:rPr>
              <w:t>а</w:t>
            </w:r>
            <w:r w:rsidRPr="00A4395A">
              <w:rPr>
                <w:sz w:val="20"/>
                <w:szCs w:val="20"/>
              </w:rPr>
              <w:t>ционных мероприятий от федеральных органов гос</w:t>
            </w:r>
            <w:r w:rsidRPr="00A4395A">
              <w:rPr>
                <w:sz w:val="20"/>
                <w:szCs w:val="20"/>
              </w:rPr>
              <w:t>у</w:t>
            </w:r>
            <w:r w:rsidRPr="00A4395A">
              <w:rPr>
                <w:sz w:val="20"/>
                <w:szCs w:val="20"/>
              </w:rPr>
              <w:t>дарственной власти, органов государственной власти субъектов Российской Федерации, органов местного самоуправления и организаций в целях сохранения жизни и здоровья граждан, а также оперативности проведения</w:t>
            </w:r>
            <w:proofErr w:type="gramEnd"/>
            <w:r w:rsidRPr="00A4395A">
              <w:rPr>
                <w:sz w:val="20"/>
                <w:szCs w:val="20"/>
              </w:rPr>
              <w:t xml:space="preserve"> органами государственной власти и орг</w:t>
            </w:r>
            <w:r w:rsidRPr="00A4395A">
              <w:rPr>
                <w:sz w:val="20"/>
                <w:szCs w:val="20"/>
              </w:rPr>
              <w:t>а</w:t>
            </w:r>
            <w:r w:rsidRPr="00A4395A">
              <w:rPr>
                <w:sz w:val="20"/>
                <w:szCs w:val="20"/>
              </w:rPr>
              <w:t>нами местного самоуправления эвакуационных м</w:t>
            </w:r>
            <w:r w:rsidRPr="00A4395A">
              <w:rPr>
                <w:sz w:val="20"/>
                <w:szCs w:val="20"/>
              </w:rPr>
              <w:t>е</w:t>
            </w:r>
            <w:r w:rsidRPr="00A4395A">
              <w:rPr>
                <w:sz w:val="20"/>
                <w:szCs w:val="20"/>
              </w:rPr>
              <w:t>роприятий.</w:t>
            </w:r>
          </w:p>
          <w:p w:rsidR="009E5875" w:rsidRPr="004C3236" w:rsidRDefault="00A4395A" w:rsidP="00A4395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4395A">
              <w:rPr>
                <w:sz w:val="20"/>
                <w:szCs w:val="20"/>
              </w:rPr>
              <w:t>Концепция проекта федерального закона подде</w:t>
            </w:r>
            <w:r w:rsidRPr="00A4395A">
              <w:rPr>
                <w:sz w:val="20"/>
                <w:szCs w:val="20"/>
              </w:rPr>
              <w:t>р</w:t>
            </w:r>
            <w:r w:rsidRPr="00A4395A">
              <w:rPr>
                <w:sz w:val="20"/>
                <w:szCs w:val="20"/>
              </w:rPr>
              <w:t>живается Правительством Архангельской области.</w:t>
            </w:r>
          </w:p>
        </w:tc>
        <w:tc>
          <w:tcPr>
            <w:tcW w:w="2268" w:type="dxa"/>
          </w:tcPr>
          <w:p w:rsidR="009E5875" w:rsidRPr="004B59C2" w:rsidRDefault="009E5875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9E5875" w:rsidRPr="00A4395A" w:rsidRDefault="00A4395A" w:rsidP="00A439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Рекомендовать</w:t>
            </w:r>
            <w:r w:rsidRPr="00A4395A">
              <w:rPr>
                <w:sz w:val="20"/>
                <w:szCs w:val="20"/>
              </w:rPr>
              <w:t xml:space="preserve"> поддержать проект федерального зак</w:t>
            </w:r>
            <w:r w:rsidRPr="00A4395A">
              <w:rPr>
                <w:sz w:val="20"/>
                <w:szCs w:val="20"/>
              </w:rPr>
              <w:t>о</w:t>
            </w:r>
            <w:r w:rsidRPr="00A4395A">
              <w:rPr>
                <w:sz w:val="20"/>
                <w:szCs w:val="20"/>
              </w:rPr>
              <w:t>на № 1120845-7 «О внес</w:t>
            </w:r>
            <w:r w:rsidRPr="00A4395A">
              <w:rPr>
                <w:sz w:val="20"/>
                <w:szCs w:val="20"/>
              </w:rPr>
              <w:t>е</w:t>
            </w:r>
            <w:r w:rsidRPr="00A4395A">
              <w:rPr>
                <w:sz w:val="20"/>
                <w:szCs w:val="20"/>
              </w:rPr>
              <w:t>нии изменений в Фед</w:t>
            </w:r>
            <w:r w:rsidRPr="00A4395A">
              <w:rPr>
                <w:sz w:val="20"/>
                <w:szCs w:val="20"/>
              </w:rPr>
              <w:t>е</w:t>
            </w:r>
            <w:r w:rsidRPr="00A4395A">
              <w:rPr>
                <w:sz w:val="20"/>
                <w:szCs w:val="20"/>
              </w:rPr>
              <w:t xml:space="preserve">ральный закон «О защите населения и территорий </w:t>
            </w:r>
            <w:r>
              <w:rPr>
                <w:sz w:val="20"/>
                <w:szCs w:val="20"/>
              </w:rPr>
              <w:br/>
            </w:r>
            <w:r w:rsidRPr="00A4395A">
              <w:rPr>
                <w:sz w:val="20"/>
                <w:szCs w:val="20"/>
              </w:rPr>
              <w:t>от чрезвычайных ситуаций природного и техногенн</w:t>
            </w:r>
            <w:r w:rsidRPr="00A4395A">
              <w:rPr>
                <w:sz w:val="20"/>
                <w:szCs w:val="20"/>
              </w:rPr>
              <w:t>о</w:t>
            </w:r>
            <w:r w:rsidRPr="00A4395A">
              <w:rPr>
                <w:sz w:val="20"/>
                <w:szCs w:val="20"/>
              </w:rPr>
              <w:lastRenderedPageBreak/>
              <w:t>го характера» (в части п</w:t>
            </w:r>
            <w:r w:rsidRPr="00A4395A">
              <w:rPr>
                <w:sz w:val="20"/>
                <w:szCs w:val="20"/>
              </w:rPr>
              <w:t>о</w:t>
            </w:r>
            <w:r w:rsidRPr="00A4395A">
              <w:rPr>
                <w:sz w:val="20"/>
                <w:szCs w:val="20"/>
              </w:rPr>
              <w:t>вышения оперативности реагирования на чрезв</w:t>
            </w:r>
            <w:r w:rsidRPr="00A4395A">
              <w:rPr>
                <w:sz w:val="20"/>
                <w:szCs w:val="20"/>
              </w:rPr>
              <w:t>ы</w:t>
            </w:r>
            <w:r w:rsidRPr="00A4395A">
              <w:rPr>
                <w:sz w:val="20"/>
                <w:szCs w:val="20"/>
              </w:rPr>
              <w:t xml:space="preserve">чайные ситуации) на </w:t>
            </w:r>
            <w:r>
              <w:rPr>
                <w:sz w:val="20"/>
                <w:szCs w:val="20"/>
              </w:rPr>
              <w:t>24-й</w:t>
            </w:r>
            <w:r w:rsidRPr="00A4395A">
              <w:rPr>
                <w:sz w:val="20"/>
                <w:szCs w:val="20"/>
              </w:rPr>
              <w:t xml:space="preserve"> сессии Архангельского областного Собрания д</w:t>
            </w:r>
            <w:r w:rsidRPr="00A4395A">
              <w:rPr>
                <w:sz w:val="20"/>
                <w:szCs w:val="20"/>
              </w:rPr>
              <w:t>е</w:t>
            </w:r>
            <w:r w:rsidRPr="00A4395A">
              <w:rPr>
                <w:sz w:val="20"/>
                <w:szCs w:val="20"/>
              </w:rPr>
              <w:t>путатов.</w:t>
            </w:r>
          </w:p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Default="009E5875" w:rsidP="00B34C1E"/>
          <w:p w:rsidR="009E5875" w:rsidRPr="00B34C1E" w:rsidRDefault="009E5875" w:rsidP="00A4395A"/>
        </w:tc>
      </w:tr>
    </w:tbl>
    <w:p w:rsidR="005610A5" w:rsidRDefault="005610A5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p w:rsidR="005610A5" w:rsidRPr="005610A5" w:rsidRDefault="005610A5" w:rsidP="005610A5"/>
    <w:p w:rsidR="005610A5" w:rsidRDefault="005610A5" w:rsidP="005610A5"/>
    <w:p w:rsidR="00566920" w:rsidRPr="005610A5" w:rsidRDefault="00566920" w:rsidP="005610A5"/>
    <w:sectPr w:rsidR="00566920" w:rsidRPr="005610A5" w:rsidSect="003C76F0">
      <w:headerReference w:type="even" r:id="rId10"/>
      <w:headerReference w:type="default" r:id="rId11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F85" w:rsidRDefault="00762F85">
      <w:r>
        <w:separator/>
      </w:r>
    </w:p>
  </w:endnote>
  <w:endnote w:type="continuationSeparator" w:id="0">
    <w:p w:rsidR="00762F85" w:rsidRDefault="00762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F85" w:rsidRDefault="00762F85">
      <w:r>
        <w:separator/>
      </w:r>
    </w:p>
  </w:footnote>
  <w:footnote w:type="continuationSeparator" w:id="0">
    <w:p w:rsidR="00762F85" w:rsidRDefault="00762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35" w:rsidRDefault="00C22213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363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3635" w:rsidRDefault="0060363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35" w:rsidRDefault="00C22213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363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A1CB5">
      <w:rPr>
        <w:rStyle w:val="aa"/>
        <w:noProof/>
      </w:rPr>
      <w:t>4</w:t>
    </w:r>
    <w:r>
      <w:rPr>
        <w:rStyle w:val="aa"/>
      </w:rPr>
      <w:fldChar w:fldCharType="end"/>
    </w:r>
  </w:p>
  <w:p w:rsidR="00603635" w:rsidRDefault="006036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F2CDA"/>
    <w:multiLevelType w:val="multilevel"/>
    <w:tmpl w:val="7D8E2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27"/>
  </w:num>
  <w:num w:numId="4">
    <w:abstractNumId w:val="4"/>
  </w:num>
  <w:num w:numId="5">
    <w:abstractNumId w:val="19"/>
  </w:num>
  <w:num w:numId="6">
    <w:abstractNumId w:val="24"/>
  </w:num>
  <w:num w:numId="7">
    <w:abstractNumId w:val="26"/>
  </w:num>
  <w:num w:numId="8">
    <w:abstractNumId w:val="7"/>
  </w:num>
  <w:num w:numId="9">
    <w:abstractNumId w:val="30"/>
  </w:num>
  <w:num w:numId="10">
    <w:abstractNumId w:val="17"/>
  </w:num>
  <w:num w:numId="11">
    <w:abstractNumId w:val="5"/>
  </w:num>
  <w:num w:numId="12">
    <w:abstractNumId w:val="9"/>
  </w:num>
  <w:num w:numId="13">
    <w:abstractNumId w:val="28"/>
  </w:num>
  <w:num w:numId="14">
    <w:abstractNumId w:val="20"/>
  </w:num>
  <w:num w:numId="15">
    <w:abstractNumId w:val="3"/>
  </w:num>
  <w:num w:numId="16">
    <w:abstractNumId w:val="0"/>
  </w:num>
  <w:num w:numId="17">
    <w:abstractNumId w:val="14"/>
  </w:num>
  <w:num w:numId="18">
    <w:abstractNumId w:val="25"/>
  </w:num>
  <w:num w:numId="19">
    <w:abstractNumId w:val="11"/>
  </w:num>
  <w:num w:numId="20">
    <w:abstractNumId w:val="8"/>
  </w:num>
  <w:num w:numId="21">
    <w:abstractNumId w:val="1"/>
  </w:num>
  <w:num w:numId="22">
    <w:abstractNumId w:val="15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18"/>
  </w:num>
  <w:num w:numId="27">
    <w:abstractNumId w:val="22"/>
  </w:num>
  <w:num w:numId="28">
    <w:abstractNumId w:val="6"/>
  </w:num>
  <w:num w:numId="29">
    <w:abstractNumId w:val="21"/>
  </w:num>
  <w:num w:numId="30">
    <w:abstractNumId w:val="2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2956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0"/>
    <w:rsid w:val="000C105D"/>
    <w:rsid w:val="000C1247"/>
    <w:rsid w:val="000C2121"/>
    <w:rsid w:val="000C268B"/>
    <w:rsid w:val="000C288E"/>
    <w:rsid w:val="000C3065"/>
    <w:rsid w:val="000C3680"/>
    <w:rsid w:val="000C69B2"/>
    <w:rsid w:val="000C7ED5"/>
    <w:rsid w:val="000D22E8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2E6E"/>
    <w:rsid w:val="001250FE"/>
    <w:rsid w:val="00125B7A"/>
    <w:rsid w:val="001261CE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2705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625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1725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0E7B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278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A706E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5E9"/>
    <w:rsid w:val="002F1ADA"/>
    <w:rsid w:val="002F38D5"/>
    <w:rsid w:val="002F6487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00BB"/>
    <w:rsid w:val="00340D18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3C1C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1A31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A8"/>
    <w:rsid w:val="00456BF6"/>
    <w:rsid w:val="00457994"/>
    <w:rsid w:val="004616B6"/>
    <w:rsid w:val="004625FB"/>
    <w:rsid w:val="00462F7A"/>
    <w:rsid w:val="004636DC"/>
    <w:rsid w:val="004638B3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4ADB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3236"/>
    <w:rsid w:val="004C42E2"/>
    <w:rsid w:val="004C57C4"/>
    <w:rsid w:val="004C63EA"/>
    <w:rsid w:val="004D0526"/>
    <w:rsid w:val="004D1A3C"/>
    <w:rsid w:val="004D22E6"/>
    <w:rsid w:val="004D37A5"/>
    <w:rsid w:val="004D479D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4CE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0A5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96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1751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2DD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3635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4474"/>
    <w:rsid w:val="00666C2B"/>
    <w:rsid w:val="006722BF"/>
    <w:rsid w:val="00672F57"/>
    <w:rsid w:val="0067373C"/>
    <w:rsid w:val="00675198"/>
    <w:rsid w:val="00675DD7"/>
    <w:rsid w:val="006800A9"/>
    <w:rsid w:val="00681BF6"/>
    <w:rsid w:val="0068321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1CB5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5304"/>
    <w:rsid w:val="006E530C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2A84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2F85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23E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4F1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679A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546E3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54E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3600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16E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2FE9"/>
    <w:rsid w:val="009B4A8F"/>
    <w:rsid w:val="009B5D45"/>
    <w:rsid w:val="009B6C6D"/>
    <w:rsid w:val="009B6D89"/>
    <w:rsid w:val="009B75B8"/>
    <w:rsid w:val="009C1182"/>
    <w:rsid w:val="009C165F"/>
    <w:rsid w:val="009C1886"/>
    <w:rsid w:val="009C5EEC"/>
    <w:rsid w:val="009C63BF"/>
    <w:rsid w:val="009C6E46"/>
    <w:rsid w:val="009D1499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875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3A2"/>
    <w:rsid w:val="00A144B1"/>
    <w:rsid w:val="00A14DD7"/>
    <w:rsid w:val="00A168E2"/>
    <w:rsid w:val="00A1748D"/>
    <w:rsid w:val="00A17C72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95A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421F"/>
    <w:rsid w:val="00A74F16"/>
    <w:rsid w:val="00A75252"/>
    <w:rsid w:val="00A7593E"/>
    <w:rsid w:val="00A75B5A"/>
    <w:rsid w:val="00A77F03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1E50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A06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4735"/>
    <w:rsid w:val="00B25813"/>
    <w:rsid w:val="00B25D65"/>
    <w:rsid w:val="00B2664E"/>
    <w:rsid w:val="00B26BAB"/>
    <w:rsid w:val="00B27214"/>
    <w:rsid w:val="00B34C1E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09A4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05F"/>
    <w:rsid w:val="00BE416D"/>
    <w:rsid w:val="00BE453D"/>
    <w:rsid w:val="00BE5CB7"/>
    <w:rsid w:val="00BF1E01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2213"/>
    <w:rsid w:val="00C237BD"/>
    <w:rsid w:val="00C237F1"/>
    <w:rsid w:val="00C24579"/>
    <w:rsid w:val="00C251ED"/>
    <w:rsid w:val="00C255D9"/>
    <w:rsid w:val="00C309CF"/>
    <w:rsid w:val="00C320ED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500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87325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7BA"/>
    <w:rsid w:val="00CB3E56"/>
    <w:rsid w:val="00CB3F58"/>
    <w:rsid w:val="00CB4B58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5953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560A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4B54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45D5"/>
    <w:rsid w:val="00E15804"/>
    <w:rsid w:val="00E15847"/>
    <w:rsid w:val="00E15D24"/>
    <w:rsid w:val="00E167CF"/>
    <w:rsid w:val="00E17683"/>
    <w:rsid w:val="00E17F79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47C6A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41CB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3E8D"/>
    <w:rsid w:val="00EC5C90"/>
    <w:rsid w:val="00ED1CFB"/>
    <w:rsid w:val="00ED4F2E"/>
    <w:rsid w:val="00ED50B0"/>
    <w:rsid w:val="00ED529F"/>
    <w:rsid w:val="00ED5338"/>
    <w:rsid w:val="00ED5C4D"/>
    <w:rsid w:val="00EE42F8"/>
    <w:rsid w:val="00EE5856"/>
    <w:rsid w:val="00EE6551"/>
    <w:rsid w:val="00EE6C8C"/>
    <w:rsid w:val="00EE7872"/>
    <w:rsid w:val="00EF04ED"/>
    <w:rsid w:val="00EF053D"/>
    <w:rsid w:val="00EF0DB0"/>
    <w:rsid w:val="00EF10F2"/>
    <w:rsid w:val="00EF3E7E"/>
    <w:rsid w:val="00F03157"/>
    <w:rsid w:val="00F100FB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2A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3">
    <w:name w:val="Основной текст (2) + Не полужирный"/>
    <w:basedOn w:val="a0"/>
    <w:rsid w:val="00D159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BE4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FontStyle23">
    <w:name w:val="Font Style23"/>
    <w:basedOn w:val="a0"/>
    <w:rsid w:val="006644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8F49A11BE1399A3BC4BB4660F234D5D926B02BFE9D40A403EEC7110A8FC591F4F6164DD1A793C48857DFAA8905B8E5BAD79FD2E8714375s3AA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8AA9FCE7F13808E02F63A863A016C3E42CCABA35402DF615D39BAC6694CCB748C5B5DC911DA30B12AE8F98E41EA43855E52C7B712CA57AN7d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84D55-D48D-425A-B36D-ED4A29EE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859</Words>
  <Characters>6906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9</cp:revision>
  <cp:lastPrinted>2021-03-22T07:57:00Z</cp:lastPrinted>
  <dcterms:created xsi:type="dcterms:W3CDTF">2021-03-22T07:57:00Z</dcterms:created>
  <dcterms:modified xsi:type="dcterms:W3CDTF">2021-07-08T12:15:00Z</dcterms:modified>
</cp:coreProperties>
</file>