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 xml:space="preserve">Совместное ЗАСЕДАНИЕ КОМИТЕТОВ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 xml:space="preserve">Архангельского областного Собрания депутатов по законодательству и вопросам местного самоуправления и по культурной политике, образованию и науке на тему «Об определении подходов </w:t>
      </w:r>
      <w:r w:rsidRPr="00D324E6">
        <w:rPr>
          <w:b/>
          <w:color w:val="000000"/>
          <w:sz w:val="24"/>
          <w:szCs w:val="24"/>
          <w:shd w:val="clear" w:color="auto" w:fill="FFFFFF"/>
        </w:rPr>
        <w:t>к установлению норматива накопления твердых коммунальных отходов для муниципальных учреждений культуры на территории Архангельской области»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02338F">
        <w:rPr>
          <w:sz w:val="24"/>
          <w:szCs w:val="24"/>
        </w:rPr>
        <w:t>50/</w:t>
      </w:r>
      <w:r w:rsidR="00D72C7A">
        <w:rPr>
          <w:sz w:val="24"/>
          <w:szCs w:val="24"/>
        </w:rPr>
        <w:t>1</w:t>
      </w:r>
      <w:r w:rsidR="00D324E6">
        <w:rPr>
          <w:sz w:val="24"/>
          <w:szCs w:val="24"/>
        </w:rPr>
        <w:t>7</w:t>
      </w:r>
      <w:r w:rsidRPr="009B6905">
        <w:rPr>
          <w:sz w:val="24"/>
          <w:szCs w:val="24"/>
        </w:rPr>
        <w:t xml:space="preserve"> от </w:t>
      </w:r>
      <w:r w:rsidR="00D324E6">
        <w:rPr>
          <w:sz w:val="24"/>
          <w:szCs w:val="24"/>
        </w:rPr>
        <w:t>6</w:t>
      </w:r>
      <w:r w:rsidR="009B6905" w:rsidRPr="009B6905">
        <w:rPr>
          <w:sz w:val="24"/>
          <w:szCs w:val="24"/>
        </w:rPr>
        <w:t xml:space="preserve"> </w:t>
      </w:r>
      <w:r w:rsidR="00D324E6">
        <w:rPr>
          <w:sz w:val="24"/>
          <w:szCs w:val="24"/>
        </w:rPr>
        <w:t>декаб</w:t>
      </w:r>
      <w:r w:rsidR="009B6905" w:rsidRPr="009B6905">
        <w:rPr>
          <w:sz w:val="24"/>
          <w:szCs w:val="24"/>
        </w:rPr>
        <w:t>ря</w:t>
      </w:r>
      <w:r w:rsidRPr="009B6905">
        <w:rPr>
          <w:sz w:val="24"/>
          <w:szCs w:val="24"/>
        </w:rPr>
        <w:t xml:space="preserve"> 2022 года</w:t>
      </w:r>
      <w:r w:rsidR="00D324E6">
        <w:rPr>
          <w:sz w:val="24"/>
          <w:szCs w:val="24"/>
        </w:rPr>
        <w:t>,</w:t>
      </w:r>
    </w:p>
    <w:p w:rsidR="00D324E6" w:rsidRPr="009B6905" w:rsidRDefault="00D324E6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>кабинет 503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2268"/>
        <w:gridCol w:w="5953"/>
        <w:gridCol w:w="1984"/>
        <w:gridCol w:w="2410"/>
      </w:tblGrid>
      <w:tr w:rsidR="00EE5D97" w:rsidRPr="002A27DF" w:rsidTr="009E5546">
        <w:tc>
          <w:tcPr>
            <w:tcW w:w="588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A27DF">
              <w:rPr>
                <w:b/>
                <w:sz w:val="24"/>
                <w:szCs w:val="24"/>
              </w:rPr>
              <w:t>п</w:t>
            </w:r>
            <w:proofErr w:type="gramEnd"/>
            <w:r w:rsidRPr="002A27D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14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A27DF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953" w:type="dxa"/>
            <w:vAlign w:val="center"/>
          </w:tcPr>
          <w:p w:rsidR="00EE5D97" w:rsidRPr="002A27DF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4" w:type="dxa"/>
            <w:vAlign w:val="center"/>
          </w:tcPr>
          <w:p w:rsidR="00EE5D97" w:rsidRPr="002A27DF" w:rsidRDefault="00EE5D97" w:rsidP="002E2C46">
            <w:pPr>
              <w:pStyle w:val="a3"/>
              <w:widowControl w:val="0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Соответствие плану деятельности комитета/ </w:t>
            </w:r>
            <w:r w:rsidRPr="002A27DF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2A27DF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2A27DF">
              <w:rPr>
                <w:b/>
                <w:bCs/>
                <w:sz w:val="24"/>
                <w:szCs w:val="24"/>
              </w:rPr>
              <w:t>нормотворчес</w:t>
            </w:r>
            <w:r w:rsidR="005914F7">
              <w:rPr>
                <w:b/>
                <w:bCs/>
                <w:sz w:val="24"/>
                <w:szCs w:val="24"/>
              </w:rPr>
              <w:t>-</w:t>
            </w:r>
            <w:r w:rsidRPr="002A27DF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2A27DF">
              <w:rPr>
                <w:b/>
                <w:bCs/>
                <w:sz w:val="24"/>
                <w:szCs w:val="24"/>
              </w:rPr>
              <w:t xml:space="preserve"> работы </w:t>
            </w:r>
            <w:r w:rsidR="002E2C46">
              <w:rPr>
                <w:b/>
                <w:bCs/>
                <w:sz w:val="24"/>
                <w:szCs w:val="24"/>
              </w:rPr>
              <w:br/>
            </w:r>
            <w:r w:rsidRPr="002A27DF">
              <w:rPr>
                <w:b/>
                <w:sz w:val="24"/>
                <w:szCs w:val="24"/>
              </w:rPr>
              <w:t>на 202</w:t>
            </w:r>
            <w:r w:rsidR="00FC1624">
              <w:rPr>
                <w:b/>
                <w:sz w:val="24"/>
                <w:szCs w:val="24"/>
              </w:rPr>
              <w:t>2</w:t>
            </w:r>
            <w:r w:rsidRPr="002A27D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2A27DF" w:rsidTr="009E5546">
        <w:tc>
          <w:tcPr>
            <w:tcW w:w="588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E5D97" w:rsidRPr="002A27DF" w:rsidRDefault="00EE5D97" w:rsidP="00D537C3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E5D97" w:rsidRPr="002A27DF" w:rsidRDefault="00EE5D97" w:rsidP="00D537C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A27DF">
              <w:t>4</w:t>
            </w:r>
          </w:p>
        </w:tc>
        <w:tc>
          <w:tcPr>
            <w:tcW w:w="1984" w:type="dxa"/>
          </w:tcPr>
          <w:p w:rsidR="00EE5D97" w:rsidRPr="002A27DF" w:rsidRDefault="00EE5D97" w:rsidP="00D537C3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6</w:t>
            </w:r>
          </w:p>
        </w:tc>
      </w:tr>
      <w:tr w:rsidR="009B6905" w:rsidRPr="00D324E6" w:rsidTr="009E5546">
        <w:tc>
          <w:tcPr>
            <w:tcW w:w="588" w:type="dxa"/>
          </w:tcPr>
          <w:p w:rsidR="009B6905" w:rsidRPr="00D324E6" w:rsidRDefault="00D324E6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D324E6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9B6905" w:rsidRPr="00D324E6" w:rsidRDefault="00D324E6" w:rsidP="00D72C7A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D324E6">
              <w:rPr>
                <w:sz w:val="24"/>
                <w:szCs w:val="24"/>
              </w:rPr>
              <w:t xml:space="preserve">Об определении подходов </w:t>
            </w:r>
            <w:r>
              <w:rPr>
                <w:sz w:val="24"/>
                <w:szCs w:val="24"/>
              </w:rPr>
              <w:br/>
            </w:r>
            <w:r w:rsidRPr="00D324E6">
              <w:rPr>
                <w:color w:val="000000"/>
                <w:sz w:val="24"/>
                <w:szCs w:val="24"/>
                <w:shd w:val="clear" w:color="auto" w:fill="FFFFFF"/>
              </w:rPr>
              <w:t xml:space="preserve">к установлению норматива накопления твердых коммунальных отходов для муниципальных учреждений культуры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324E6">
              <w:rPr>
                <w:color w:val="000000"/>
                <w:sz w:val="24"/>
                <w:szCs w:val="24"/>
                <w:shd w:val="clear" w:color="auto" w:fill="FFFFFF"/>
              </w:rPr>
              <w:t>на территории Архангельской области</w:t>
            </w:r>
          </w:p>
        </w:tc>
        <w:tc>
          <w:tcPr>
            <w:tcW w:w="2268" w:type="dxa"/>
          </w:tcPr>
          <w:p w:rsidR="009B6905" w:rsidRPr="00D324E6" w:rsidRDefault="00D324E6" w:rsidP="00D324E6">
            <w:pPr>
              <w:pStyle w:val="a3"/>
              <w:widowControl w:val="0"/>
              <w:ind w:right="-113" w:firstLine="0"/>
              <w:jc w:val="left"/>
              <w:rPr>
                <w:sz w:val="24"/>
                <w:szCs w:val="24"/>
              </w:rPr>
            </w:pPr>
            <w:r w:rsidRPr="00D324E6">
              <w:rPr>
                <w:sz w:val="24"/>
                <w:szCs w:val="24"/>
              </w:rPr>
              <w:t>Председатель комитета Архангельского областного Собрания депутатов по законодательству и вопросам местного самоуправления Чесноков И.А.</w:t>
            </w:r>
            <w:r>
              <w:rPr>
                <w:sz w:val="24"/>
                <w:szCs w:val="24"/>
              </w:rPr>
              <w:t>/</w:t>
            </w:r>
            <w:r w:rsidRPr="009D0A1B">
              <w:rPr>
                <w:szCs w:val="28"/>
              </w:rPr>
              <w:t xml:space="preserve"> </w:t>
            </w:r>
            <w:r w:rsidRPr="00D324E6">
              <w:rPr>
                <w:sz w:val="24"/>
                <w:szCs w:val="24"/>
              </w:rPr>
              <w:t>заместитель министра природных</w:t>
            </w:r>
            <w:r>
              <w:rPr>
                <w:sz w:val="24"/>
                <w:szCs w:val="24"/>
              </w:rPr>
              <w:t xml:space="preserve"> </w:t>
            </w:r>
            <w:r w:rsidRPr="00D324E6">
              <w:rPr>
                <w:sz w:val="24"/>
                <w:szCs w:val="24"/>
              </w:rPr>
              <w:t xml:space="preserve">ресурсов </w:t>
            </w:r>
            <w:r>
              <w:rPr>
                <w:sz w:val="24"/>
                <w:szCs w:val="24"/>
              </w:rPr>
              <w:br/>
            </w:r>
            <w:r w:rsidRPr="00D324E6">
              <w:rPr>
                <w:sz w:val="24"/>
                <w:szCs w:val="24"/>
              </w:rPr>
              <w:t>и лесопромышленного комплекса Архангельской области Шаповалов</w:t>
            </w:r>
            <w:r>
              <w:rPr>
                <w:sz w:val="24"/>
                <w:szCs w:val="24"/>
              </w:rPr>
              <w:t> </w:t>
            </w:r>
            <w:r w:rsidRPr="00D324E6">
              <w:rPr>
                <w:sz w:val="24"/>
                <w:szCs w:val="24"/>
              </w:rPr>
              <w:t>К.А.</w:t>
            </w:r>
          </w:p>
        </w:tc>
        <w:tc>
          <w:tcPr>
            <w:tcW w:w="5953" w:type="dxa"/>
          </w:tcPr>
          <w:p w:rsidR="002E2C46" w:rsidRPr="002E2C46" w:rsidRDefault="002E2C4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От муниципальных образований Архангельской области в областное Собрание поступают просьбы рассмотреть вопрос об изменении норматива накопления 'ГКО на территории Архангельской области, утвержденного постановлением министерства природных ресурсов и ЛПК Архангельской области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от 24.03.2022 года № 5п, в части, касающейся учреждений культуры, расположенных в сельских населенных пунктах.</w:t>
            </w:r>
          </w:p>
          <w:p w:rsidR="002E2C46" w:rsidRPr="002E2C46" w:rsidRDefault="002E2C4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В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соответствии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с указанным постановлением расчетной единицей, в отношении которой установлен норматив накопления ТКО для домов культуры, является 1 посадочное место. Многие дома культуры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и сельские клубы построены по типовым проектам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 60-80-е годы, когда в сельских населенных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пунктах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проживало по несколько сотен человек. В настоящее время численность населения в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деревнях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значительно сократилась до несколько десятков человек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lastRenderedPageBreak/>
              <w:t>и посещаемость домов культуры и сельских клубов, соответственно, существенно снизилась.</w:t>
            </w:r>
          </w:p>
          <w:p w:rsidR="002E2C46" w:rsidRPr="002E2C46" w:rsidRDefault="002E2C4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Полностью посадочные места в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учреждениях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культуры, расположенных в сельской местности,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не используются. Наполняемость залов на проводимых мероприятиях значительно снизилась в связи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с уменьшением населения в селах и деревнях округа. Во время проводимых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мероп</w:t>
            </w:r>
            <w:r w:rsidR="00532D5A">
              <w:rPr>
                <w:rFonts w:eastAsiaTheme="minorHAnsi"/>
                <w:color w:val="000000"/>
                <w:lang w:eastAsia="en-US"/>
              </w:rPr>
              <w:t>риятиях</w:t>
            </w:r>
            <w:proofErr w:type="gramEnd"/>
            <w:r w:rsidR="00532D5A">
              <w:rPr>
                <w:rFonts w:eastAsiaTheme="minorHAnsi"/>
                <w:color w:val="000000"/>
                <w:lang w:eastAsia="en-US"/>
              </w:rPr>
              <w:t xml:space="preserve"> используется максимум 1</w:t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/3-1/4 посадочных мест, да и массовых мероприятия на селе проводятся крайне редко. В связи </w:t>
            </w:r>
            <w:r w:rsidRPr="002E2C46">
              <w:rPr>
                <w:rFonts w:eastAsiaTheme="minorHAnsi"/>
                <w:color w:val="000000"/>
                <w:lang w:eastAsia="en-US"/>
              </w:rPr>
              <w:br/>
              <w:t xml:space="preserve">с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вышеизложенным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учет накопления ТКО из расчета посадочных мест в учреждениях культуры расположенных в сельской местности, по сути,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не приемлем </w:t>
            </w:r>
          </w:p>
          <w:p w:rsidR="002E2C46" w:rsidRPr="002E2C46" w:rsidRDefault="002E2C4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Исходя из опыта и анализа работы за предыдущие годы, большинство муниципальных образований полагают, что оптимальным и рациональным вариантом накопления ТКО был бы учет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по фактическому накоплению, что способствовало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бы значительной экономии местных бюджетов.</w:t>
            </w:r>
          </w:p>
          <w:p w:rsidR="002E2C46" w:rsidRPr="002E2C46" w:rsidRDefault="002E2C4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 xml:space="preserve">В соответствии с пунктом 2 статьи 24.10 Федерального закона от 24.06.1998 № 89-ФЗ </w:t>
            </w:r>
            <w:r w:rsidR="003C46F5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«Об отходах производства и потребления» нормативы утверждаются органом исполнительной власти субъекта Российской Федерации либо органом местного самоуправления поселения или городского округа (в случае наделения его соответствующими полномочиями законом субъекта Российской Федерации).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Правила определения нормативов установлены постановлением Правительства Российской Федерации от 04.04.2016 №</w:t>
            </w:r>
            <w:r w:rsidR="008305C0">
              <w:rPr>
                <w:rFonts w:eastAsiaTheme="minorHAnsi"/>
                <w:color w:val="000000"/>
                <w:lang w:eastAsia="en-US"/>
              </w:rPr>
              <w:t xml:space="preserve"> 269</w:t>
            </w:r>
            <w:r w:rsidRPr="002E2C46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В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соответствии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с подпунктом «в» пункта 4 Правил № 269 нормативы могут устанавливаться дифференцированно в отношении категорий объектов, на которых образуются ТКО.</w:t>
            </w:r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Постановлением министерства от 24.03.2022 № 5п </w:t>
            </w:r>
            <w:r w:rsidRPr="002E2C46">
              <w:rPr>
                <w:rFonts w:eastAsiaTheme="minorHAnsi"/>
                <w:color w:val="000000"/>
                <w:lang w:eastAsia="en-US"/>
              </w:rPr>
              <w:lastRenderedPageBreak/>
              <w:t xml:space="preserve">«Об утверждении нормативов накопления ТКО </w:t>
            </w:r>
            <w:r w:rsidR="00532D5A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на территории Архангельской области» утверждены новые нормативы накопления ТКО на территории Архангельской области. Нормативы накопления ТКО разработаны отдельно для жилых зданий, для торговых, культурно-бытовых, объектов общественного назначения и иных зданий. Установлению новых нормативов предшествовала научная и организационная работа.</w:t>
            </w:r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 xml:space="preserve">В течение 2021 года специалисты ООО «Проектно-строительная организация «Волга»  рамках государственного контракта на оказание услуг </w:t>
            </w:r>
            <w:r w:rsidR="00532D5A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по разработке нормативов накопления ТКО на территории Архангельской области от 15.02.2021 № 1 </w:t>
            </w:r>
            <w:r w:rsidR="00532D5A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с министерством проводили исследования по расчёту ежегодных объёмов накопления ТКО и определения их фракционн</w:t>
            </w:r>
            <w:r w:rsidR="00532D5A">
              <w:rPr>
                <w:rFonts w:eastAsiaTheme="minorHAnsi"/>
                <w:color w:val="000000"/>
                <w:lang w:eastAsia="en-US"/>
              </w:rPr>
              <w:t xml:space="preserve">ого и морфологического состава </w:t>
            </w:r>
            <w:r w:rsidR="00532D5A">
              <w:rPr>
                <w:rFonts w:eastAsiaTheme="minorHAnsi"/>
                <w:color w:val="000000"/>
                <w:lang w:eastAsia="en-US"/>
              </w:rPr>
              <w:br/>
              <w:t>в</w:t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 процентном и весовом отношении к общему объему ТКО.</w:t>
            </w:r>
            <w:proofErr w:type="gramEnd"/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Для проведения натурных исследований (замеров) были выбраны пять муниципальных образований Архангельской области: город Архангельск, Вельский, Устьянский, Красноборский районы и Каргопольский округ Архангельской области. Замеры проводились </w:t>
            </w:r>
            <w:r w:rsidR="003C46F5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в 13 административных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центрах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, городских округах </w:t>
            </w:r>
            <w:r w:rsidR="003C46F5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и населенных пунктах сельской местности на 386 местах (площадках) сбора и накопления ТКО </w:t>
            </w:r>
            <w:r w:rsidR="003C46F5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за каждый сезон (весну, лето, осень и зиму) прошедшего года в течение семи дней подряд. Общее количество исследований составило более 10 000 измерений по определению фактического образования и накопления ТКО на территории области.</w:t>
            </w:r>
          </w:p>
          <w:p w:rsidR="008305C0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На основании вышеизложенного, министерством утверждены нормативы накопления ТКО в рамках результатов исполнения обязательств исполнения государственного контракта, предоставленных </w:t>
            </w:r>
            <w:r w:rsidR="00532D5A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ООО «ПСО «Волга». Определение нормативов </w:t>
            </w:r>
            <w:r w:rsidRPr="002E2C46">
              <w:rPr>
                <w:rFonts w:eastAsiaTheme="minorHAnsi"/>
                <w:color w:val="000000"/>
                <w:lang w:eastAsia="en-US"/>
              </w:rPr>
              <w:lastRenderedPageBreak/>
              <w:t>регламентируется правилами, утвержденными постановлением Правительства Российской Федерации от 04.04.2016 № 269 и методическими рекомендациями по вопросам, связанным с определением нормативов накопления ТКО, утвержденными приказом Министерства строительства и жилищно</w:t>
            </w:r>
            <w:r w:rsidR="00934A02" w:rsidRPr="002E2C46">
              <w:rPr>
                <w:rFonts w:eastAsiaTheme="minorHAnsi"/>
                <w:color w:val="000000"/>
                <w:lang w:eastAsia="en-US"/>
              </w:rPr>
              <w:t>-</w:t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коммунального хозяйства Российской Федерации </w:t>
            </w:r>
            <w:r w:rsidR="003C46F5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от 28.07.2016 № 524/пр</w:t>
            </w:r>
            <w:r w:rsidR="008305C0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В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соответствии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с пунктом 4 методических рекомендаций определены категории объектов,</w:t>
            </w:r>
            <w:r w:rsidR="003C46F5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на которых образуются отходы, и в отношении которых могут устанавливаться нормативы, а также расчетные единицы по категориям объектов.</w:t>
            </w:r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>Для категории объекта «Культурно-развлекательные учреждения, клубы, кинотеатры, концертные залы, театры» установлен норматив накопления на 1 место 18,03 кг/год и 0,22 куб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/год. Расчетная единица «1 квадратный метр» не утвержден в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постановлении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. Применение расчетной единицы </w:t>
            </w:r>
            <w:r w:rsidR="003C46F5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«1 кв. м. общей площади» обусловлено площадью, занимаемой рассматриваемым объектом. Постановлением Правительства Российской Федерации от 12.11.2016 № 1156 «Об обращении </w:t>
            </w:r>
            <w:r w:rsidR="00532D5A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с твердыми коммунальными отходами и внесении изменения в постановление Правительства Российской Федерации от 25.08.2008 № 641» (далее – Правила №</w:t>
            </w:r>
            <w:r w:rsidR="00934A02" w:rsidRPr="002E2C46">
              <w:rPr>
                <w:rFonts w:eastAsiaTheme="minorHAnsi"/>
                <w:color w:val="000000"/>
                <w:lang w:eastAsia="en-US"/>
              </w:rPr>
              <w:t> </w:t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1156) утверждена форма Типового договора </w:t>
            </w:r>
            <w:r w:rsidR="003C46F5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на оказание услуг по обращению с ТКО. </w:t>
            </w:r>
            <w:r w:rsidR="00532D5A">
              <w:rPr>
                <w:rFonts w:eastAsiaTheme="minorHAnsi"/>
                <w:color w:val="000000"/>
                <w:lang w:eastAsia="en-US"/>
              </w:rPr>
              <w:br/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 xml:space="preserve">В соответствии с пунктом 15 типового договора стороны договора обязаны выбрать способ осуществления коммерческого учета ТКО </w:t>
            </w:r>
            <w:r w:rsidR="00532D5A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в соответствии с Правилами коммерческого учета объема и (или) массы ТКО, утвержденными постановлением Правительства </w:t>
            </w:r>
            <w:r w:rsidR="003C46F5">
              <w:rPr>
                <w:rFonts w:eastAsiaTheme="minorHAnsi"/>
                <w:color w:val="000000"/>
                <w:lang w:eastAsia="en-US"/>
              </w:rPr>
              <w:t>РФ</w:t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 от 03.06.2016 №</w:t>
            </w:r>
            <w:r w:rsidR="004D55CE">
              <w:rPr>
                <w:rFonts w:eastAsiaTheme="minorHAnsi"/>
                <w:color w:val="000000"/>
                <w:lang w:eastAsia="en-US"/>
              </w:rPr>
              <w:t> 505</w:t>
            </w:r>
            <w:r w:rsidRPr="002E2C46">
              <w:rPr>
                <w:rFonts w:eastAsiaTheme="minorHAnsi"/>
                <w:color w:val="000000"/>
                <w:lang w:eastAsia="en-US"/>
              </w:rPr>
              <w:t>.</w:t>
            </w:r>
            <w:proofErr w:type="gramEnd"/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 xml:space="preserve">В соответствии с пунктом 5 Правил № 505 коммерческий учет твердых коммунальных отходов </w:t>
            </w:r>
            <w:r w:rsidRPr="002E2C46">
              <w:rPr>
                <w:rFonts w:eastAsiaTheme="minorHAnsi"/>
                <w:color w:val="000000"/>
                <w:lang w:eastAsia="en-US"/>
              </w:rPr>
              <w:lastRenderedPageBreak/>
              <w:t xml:space="preserve">может осуществляться расчетным путем исходя </w:t>
            </w:r>
            <w:r w:rsidR="004D55CE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из количества и объема контейнеров для накопления твердых коммунальных отходов, установленных </w:t>
            </w:r>
            <w:r w:rsidR="004D55CE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в местах накопления твердых коммунальных отходов.</w:t>
            </w:r>
            <w:proofErr w:type="gramEnd"/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Выбор способа учета является предметом соглашения (договора) между сторонами. Сторонами может быть выбран способ коммерческого учета </w:t>
            </w:r>
            <w:r w:rsidR="004D55CE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по количеству и объему контейнеров для накопления ТКО, установленных в местах (площадках) накопления ТКО, в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случаи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если контейнеры потребителя и места (площадки) накопления ТКО соответствуют нормам действующего экологического законодательства</w:t>
            </w:r>
            <w:r w:rsidR="004D55CE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 и внесены в реестр мест (площадок) накопления ТКО </w:t>
            </w:r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в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соответствии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с правилами формирования и ведения реестра мест (площадок) накопления ТКО </w:t>
            </w:r>
            <w:r w:rsidR="004D55CE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и требованиями к содержанию реестра мест (площадок) накопления ТКО, утвержденными постановлением Правительства Российской Федерации от 31.08.2018 №</w:t>
            </w:r>
            <w:r w:rsidR="00934A02" w:rsidRPr="002E2C46">
              <w:rPr>
                <w:rFonts w:eastAsiaTheme="minorHAnsi"/>
                <w:color w:val="000000"/>
                <w:lang w:eastAsia="en-US"/>
              </w:rPr>
              <w:t> </w:t>
            </w:r>
            <w:r w:rsidRPr="002E2C46">
              <w:rPr>
                <w:rFonts w:eastAsiaTheme="minorHAnsi"/>
                <w:color w:val="000000"/>
                <w:lang w:eastAsia="en-US"/>
              </w:rPr>
              <w:t>1039.</w:t>
            </w:r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 xml:space="preserve">Кроме того, в соответствии со статьей 19 Федерального закона от 24.06.1998 № 89-ФЗ </w:t>
            </w:r>
            <w:r w:rsidR="004D55CE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«Об отходах производства и потребления» 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утилизированных, обезвреженных, переданных другим лицам или полученных от других лиц, а также размещенных отходов.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 xml:space="preserve">Требования к организации и ведению юридическими лицами и индивидуальными предпринимателями, осуществляющими деятельность в области обращения с отходами, учета образовавшихся, обработанных, утилизированных, обезвреженных, переданных другим лицам или полученных от других лиц, а также размещенных отходов закреплены в порядке учета в области обращения с отходами, утвержденном Приказом </w:t>
            </w:r>
            <w:r w:rsidRPr="002E2C46">
              <w:rPr>
                <w:rFonts w:eastAsiaTheme="minorHAnsi"/>
                <w:color w:val="000000"/>
                <w:lang w:eastAsia="en-US"/>
              </w:rPr>
              <w:lastRenderedPageBreak/>
              <w:t xml:space="preserve">Минприроды России от 08.12.2020 № 1028 </w:t>
            </w:r>
            <w:r w:rsidR="004D55CE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>«Об утверждении Порядка учета в области обращения с отходами».</w:t>
            </w:r>
            <w:proofErr w:type="gramEnd"/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Переход на коммерческий учет ТКО расчетным путем исходя из нормативов накопления ТКО, выраженных в количественных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показателях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объема, возможен в случае, если потребитель выразит согласие на изменение способа учета путем заключения дополнительного соглашения или заключения нового договора.</w:t>
            </w:r>
          </w:p>
          <w:p w:rsidR="00D324E6" w:rsidRPr="002E2C46" w:rsidRDefault="00D324E6" w:rsidP="002E2C46">
            <w:pPr>
              <w:autoSpaceDE w:val="0"/>
              <w:autoSpaceDN w:val="0"/>
              <w:adjustRightInd w:val="0"/>
              <w:ind w:firstLine="317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В случае, если договор заключается с потребителем впервые, следует учитывать, что согласно позиции Федеральной антимонопольной службы Российской Федерации, выраженной в письме от 11.08.2021 №</w:t>
            </w:r>
            <w:r w:rsidR="00934A02" w:rsidRPr="002E2C46">
              <w:rPr>
                <w:rFonts w:eastAsiaTheme="minorHAnsi"/>
                <w:color w:val="000000"/>
                <w:lang w:eastAsia="en-US"/>
              </w:rPr>
              <w:t> </w:t>
            </w:r>
            <w:r w:rsidRPr="002E2C46">
              <w:rPr>
                <w:rFonts w:eastAsiaTheme="minorHAnsi"/>
                <w:color w:val="000000"/>
                <w:lang w:eastAsia="en-US"/>
              </w:rPr>
              <w:t>ВК/67016/21, навязывание невыгодных условий потребителю (например, в навязывании невыгодного для потребителя способа коммерческого учета ТКО), могут содержать в себе признаки нарушения антимонопольного законодательства (подпункта 3 пункта 1 статьи 10 Федерального закона от 26.07.2006 № 135-ФЗ «О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защите конкуренции»).</w:t>
            </w:r>
          </w:p>
          <w:p w:rsidR="005914F7" w:rsidRPr="002E2C46" w:rsidRDefault="00D324E6" w:rsidP="00532D5A">
            <w:pPr>
              <w:autoSpaceDE w:val="0"/>
              <w:autoSpaceDN w:val="0"/>
              <w:adjustRightInd w:val="0"/>
              <w:ind w:firstLine="317"/>
            </w:pPr>
            <w:r w:rsidRPr="002E2C46">
              <w:rPr>
                <w:rFonts w:eastAsiaTheme="minorHAnsi"/>
                <w:color w:val="000000"/>
                <w:lang w:eastAsia="en-US"/>
              </w:rPr>
              <w:t xml:space="preserve">На основании вышеизложенного, министерством утверждены нормативы накопления ТКО в рамках результатов исполнения обязательств исполнения государственного контракта, предоставленных ООО «ПСО «Волга». Применение расчетной единицы </w:t>
            </w:r>
            <w:r w:rsidR="004D55CE">
              <w:rPr>
                <w:rFonts w:eastAsiaTheme="minorHAnsi"/>
                <w:color w:val="000000"/>
                <w:lang w:eastAsia="en-US"/>
              </w:rPr>
              <w:br/>
            </w:r>
            <w:r w:rsidRPr="002E2C46">
              <w:rPr>
                <w:rFonts w:eastAsiaTheme="minorHAnsi"/>
                <w:color w:val="000000"/>
                <w:lang w:eastAsia="en-US"/>
              </w:rPr>
              <w:t xml:space="preserve">«1 место» обусловлено фактическим количеством мест, расположенных на объекте по проведению замеров. Замеры проводились с учетом </w:t>
            </w:r>
            <w:proofErr w:type="gramStart"/>
            <w:r w:rsidRPr="002E2C46">
              <w:rPr>
                <w:rFonts w:eastAsiaTheme="minorHAnsi"/>
                <w:color w:val="000000"/>
                <w:lang w:eastAsia="en-US"/>
              </w:rPr>
              <w:t>фактического</w:t>
            </w:r>
            <w:proofErr w:type="gramEnd"/>
            <w:r w:rsidRPr="002E2C46">
              <w:rPr>
                <w:rFonts w:eastAsiaTheme="minorHAnsi"/>
                <w:color w:val="000000"/>
                <w:lang w:eastAsia="en-US"/>
              </w:rPr>
              <w:t xml:space="preserve"> образования отходов и посещаемости культурно-развлекательных учреждений. </w:t>
            </w:r>
          </w:p>
        </w:tc>
        <w:tc>
          <w:tcPr>
            <w:tcW w:w="1984" w:type="dxa"/>
          </w:tcPr>
          <w:p w:rsidR="009B6905" w:rsidRPr="00D324E6" w:rsidRDefault="00D324E6" w:rsidP="0052074D">
            <w:pPr>
              <w:widowControl w:val="0"/>
            </w:pPr>
            <w:r>
              <w:lastRenderedPageBreak/>
              <w:t>Вне плана</w:t>
            </w:r>
          </w:p>
        </w:tc>
        <w:tc>
          <w:tcPr>
            <w:tcW w:w="2410" w:type="dxa"/>
          </w:tcPr>
          <w:p w:rsidR="00FA602D" w:rsidRPr="00FA602D" w:rsidRDefault="00FA602D" w:rsidP="00181DC0">
            <w:pPr>
              <w:widowControl w:val="0"/>
              <w:ind w:left="-57" w:right="-57" w:firstLine="176"/>
              <w:rPr>
                <w:b/>
              </w:rPr>
            </w:pPr>
            <w:r w:rsidRPr="00FA602D">
              <w:t xml:space="preserve">1. Принять </w:t>
            </w:r>
            <w:r>
              <w:br/>
            </w:r>
            <w:r w:rsidRPr="00FA602D">
              <w:t xml:space="preserve">к сведению информацию заместителя министра природных ресурсов </w:t>
            </w:r>
            <w:r>
              <w:br/>
            </w:r>
            <w:r w:rsidRPr="00FA602D">
              <w:t>и лесопромышленного комплекса Архангельской области Шаповалов К.А.</w:t>
            </w:r>
          </w:p>
          <w:p w:rsidR="00FA602D" w:rsidRPr="00FA602D" w:rsidRDefault="00FA602D" w:rsidP="00181DC0">
            <w:pPr>
              <w:pStyle w:val="a3"/>
              <w:widowControl w:val="0"/>
              <w:ind w:left="-57" w:right="-57" w:firstLine="176"/>
              <w:jc w:val="left"/>
              <w:rPr>
                <w:sz w:val="24"/>
                <w:szCs w:val="24"/>
              </w:rPr>
            </w:pPr>
            <w:r w:rsidRPr="00FA602D">
              <w:rPr>
                <w:sz w:val="24"/>
                <w:szCs w:val="24"/>
              </w:rPr>
              <w:t xml:space="preserve">2. Учесть предложения по внесению изменений в нормативные правовые акты </w:t>
            </w:r>
            <w:r>
              <w:rPr>
                <w:sz w:val="24"/>
                <w:szCs w:val="24"/>
              </w:rPr>
              <w:br/>
            </w:r>
            <w:r w:rsidR="00181DC0">
              <w:rPr>
                <w:sz w:val="24"/>
                <w:szCs w:val="24"/>
              </w:rPr>
              <w:t>в части к</w:t>
            </w:r>
            <w:r w:rsidRPr="00FA602D">
              <w:rPr>
                <w:sz w:val="24"/>
                <w:szCs w:val="24"/>
              </w:rPr>
              <w:t xml:space="preserve">атегорирования </w:t>
            </w:r>
            <w:r w:rsidRPr="00FA602D">
              <w:rPr>
                <w:sz w:val="24"/>
                <w:szCs w:val="24"/>
              </w:rPr>
              <w:lastRenderedPageBreak/>
              <w:t xml:space="preserve">учреждений культуры по видам и их </w:t>
            </w:r>
            <w:r w:rsidR="00181DC0">
              <w:rPr>
                <w:sz w:val="24"/>
                <w:szCs w:val="24"/>
              </w:rPr>
              <w:t>т</w:t>
            </w:r>
            <w:r w:rsidRPr="00FA602D">
              <w:rPr>
                <w:sz w:val="24"/>
                <w:szCs w:val="24"/>
              </w:rPr>
              <w:t xml:space="preserve">ерриториальному расположению, поступившие </w:t>
            </w:r>
            <w:r>
              <w:rPr>
                <w:sz w:val="24"/>
                <w:szCs w:val="24"/>
              </w:rPr>
              <w:br/>
            </w:r>
            <w:r w:rsidRPr="00FA602D">
              <w:rPr>
                <w:sz w:val="24"/>
                <w:szCs w:val="24"/>
              </w:rPr>
              <w:t xml:space="preserve">от участников заседания комитетов </w:t>
            </w:r>
            <w:r w:rsidRPr="00FA602D">
              <w:rPr>
                <w:sz w:val="24"/>
                <w:szCs w:val="24"/>
              </w:rPr>
              <w:br/>
              <w:t>и от муниципальных образований Архангельской области.</w:t>
            </w:r>
          </w:p>
          <w:p w:rsidR="00FA602D" w:rsidRPr="00FA602D" w:rsidRDefault="00FA602D" w:rsidP="00181DC0">
            <w:pPr>
              <w:pStyle w:val="a3"/>
              <w:widowControl w:val="0"/>
              <w:ind w:left="-57" w:right="-57" w:firstLine="176"/>
              <w:jc w:val="left"/>
              <w:rPr>
                <w:sz w:val="24"/>
                <w:szCs w:val="24"/>
              </w:rPr>
            </w:pPr>
            <w:r w:rsidRPr="00FA602D">
              <w:rPr>
                <w:sz w:val="24"/>
                <w:szCs w:val="24"/>
              </w:rPr>
              <w:t xml:space="preserve">3. Рекомендовать комитету </w:t>
            </w:r>
            <w:r w:rsidR="00181DC0">
              <w:rPr>
                <w:sz w:val="24"/>
                <w:szCs w:val="24"/>
              </w:rPr>
              <w:br/>
            </w:r>
            <w:r w:rsidRPr="00FA602D">
              <w:rPr>
                <w:sz w:val="24"/>
                <w:szCs w:val="24"/>
              </w:rPr>
              <w:t xml:space="preserve">по культурной политике, образованию и науке обратиться </w:t>
            </w:r>
            <w:r>
              <w:rPr>
                <w:sz w:val="24"/>
                <w:szCs w:val="24"/>
              </w:rPr>
              <w:br/>
            </w:r>
            <w:r w:rsidRPr="00FA602D">
              <w:rPr>
                <w:sz w:val="24"/>
                <w:szCs w:val="24"/>
              </w:rPr>
              <w:t xml:space="preserve">в Правительство Архангельской области </w:t>
            </w:r>
            <w:r>
              <w:rPr>
                <w:sz w:val="24"/>
                <w:szCs w:val="24"/>
              </w:rPr>
              <w:br/>
            </w:r>
            <w:r w:rsidRPr="00FA602D">
              <w:rPr>
                <w:sz w:val="24"/>
                <w:szCs w:val="24"/>
              </w:rPr>
              <w:t xml:space="preserve">(к Губернатору Архангельской области) </w:t>
            </w:r>
            <w:r>
              <w:rPr>
                <w:sz w:val="24"/>
                <w:szCs w:val="24"/>
              </w:rPr>
              <w:br/>
            </w:r>
            <w:r w:rsidRPr="00FA602D">
              <w:rPr>
                <w:sz w:val="24"/>
                <w:szCs w:val="24"/>
              </w:rPr>
              <w:t xml:space="preserve">с предложением провести корректировку нормативов накопления твердых коммунальных отходов, предусмотрев установление дифференцированных нормативов </w:t>
            </w:r>
            <w:r>
              <w:rPr>
                <w:sz w:val="24"/>
                <w:szCs w:val="24"/>
              </w:rPr>
              <w:br/>
            </w:r>
            <w:r w:rsidRPr="00FA602D">
              <w:rPr>
                <w:sz w:val="24"/>
                <w:szCs w:val="24"/>
              </w:rPr>
              <w:t xml:space="preserve">в отношении различных видов учреждений культуры </w:t>
            </w:r>
            <w:r>
              <w:rPr>
                <w:sz w:val="24"/>
                <w:szCs w:val="24"/>
              </w:rPr>
              <w:br/>
            </w:r>
            <w:r w:rsidRPr="00FA602D">
              <w:rPr>
                <w:sz w:val="24"/>
                <w:szCs w:val="24"/>
              </w:rPr>
              <w:lastRenderedPageBreak/>
              <w:t>и муниципальных образований (групп муниципальных образований).</w:t>
            </w:r>
          </w:p>
          <w:p w:rsidR="009B6905" w:rsidRPr="00FA602D" w:rsidRDefault="00FA602D" w:rsidP="00181DC0">
            <w:pPr>
              <w:pStyle w:val="a3"/>
              <w:widowControl w:val="0"/>
              <w:ind w:left="-57" w:right="-57" w:firstLine="176"/>
              <w:jc w:val="left"/>
              <w:rPr>
                <w:sz w:val="24"/>
                <w:szCs w:val="24"/>
              </w:rPr>
            </w:pPr>
            <w:r w:rsidRPr="00FA602D">
              <w:rPr>
                <w:sz w:val="24"/>
                <w:szCs w:val="24"/>
              </w:rPr>
              <w:t xml:space="preserve">4. Направить предложения </w:t>
            </w:r>
            <w:r>
              <w:rPr>
                <w:sz w:val="24"/>
                <w:szCs w:val="24"/>
              </w:rPr>
              <w:br/>
            </w:r>
            <w:r w:rsidRPr="00FA602D">
              <w:rPr>
                <w:sz w:val="24"/>
                <w:szCs w:val="24"/>
              </w:rPr>
              <w:t xml:space="preserve">в проект решения </w:t>
            </w:r>
            <w:r>
              <w:rPr>
                <w:sz w:val="24"/>
                <w:szCs w:val="24"/>
              </w:rPr>
              <w:br/>
            </w:r>
            <w:r w:rsidRPr="00FA602D">
              <w:rPr>
                <w:sz w:val="24"/>
                <w:szCs w:val="24"/>
              </w:rPr>
              <w:t xml:space="preserve">в адрес комитета </w:t>
            </w:r>
            <w:r>
              <w:rPr>
                <w:sz w:val="24"/>
                <w:szCs w:val="24"/>
              </w:rPr>
              <w:br/>
            </w:r>
            <w:r w:rsidRPr="00FA602D">
              <w:rPr>
                <w:sz w:val="24"/>
                <w:szCs w:val="24"/>
              </w:rPr>
              <w:t xml:space="preserve">по культурной политике, образованию и науке до 12 декабря </w:t>
            </w:r>
            <w:r>
              <w:rPr>
                <w:sz w:val="24"/>
                <w:szCs w:val="24"/>
              </w:rPr>
              <w:br/>
            </w:r>
            <w:r w:rsidRPr="00FA602D">
              <w:rPr>
                <w:sz w:val="24"/>
                <w:szCs w:val="24"/>
              </w:rPr>
              <w:t>2022 года.</w:t>
            </w:r>
          </w:p>
        </w:tc>
      </w:tr>
    </w:tbl>
    <w:p w:rsidR="00EE5D97" w:rsidRDefault="00EE5D97" w:rsidP="00EE5D97">
      <w:pPr>
        <w:widowControl w:val="0"/>
        <w:jc w:val="center"/>
      </w:pPr>
    </w:p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7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6DB" w:rsidRDefault="008B56DB" w:rsidP="0030191D">
      <w:r>
        <w:separator/>
      </w:r>
    </w:p>
  </w:endnote>
  <w:endnote w:type="continuationSeparator" w:id="0">
    <w:p w:rsidR="008B56DB" w:rsidRDefault="008B56DB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6DB" w:rsidRDefault="008B56DB" w:rsidP="0030191D">
      <w:r>
        <w:separator/>
      </w:r>
    </w:p>
  </w:footnote>
  <w:footnote w:type="continuationSeparator" w:id="0">
    <w:p w:rsidR="008B56DB" w:rsidRDefault="008B56DB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0364ED" w:rsidRPr="006A4847" w:rsidRDefault="008E501E">
        <w:pPr>
          <w:pStyle w:val="a8"/>
          <w:jc w:val="center"/>
        </w:pPr>
        <w:r w:rsidRPr="006A4847">
          <w:fldChar w:fldCharType="begin"/>
        </w:r>
        <w:r w:rsidR="00581CE4" w:rsidRPr="006A4847">
          <w:instrText xml:space="preserve"> PAGE   \* MERGEFORMAT </w:instrText>
        </w:r>
        <w:r w:rsidRPr="006A4847">
          <w:fldChar w:fldCharType="separate"/>
        </w:r>
        <w:r w:rsidR="0002338F">
          <w:rPr>
            <w:noProof/>
          </w:rPr>
          <w:t>3</w:t>
        </w:r>
        <w:r w:rsidRPr="006A4847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13AB0"/>
    <w:rsid w:val="00015AEE"/>
    <w:rsid w:val="0002338F"/>
    <w:rsid w:val="00040A00"/>
    <w:rsid w:val="000533D3"/>
    <w:rsid w:val="00081962"/>
    <w:rsid w:val="0008673B"/>
    <w:rsid w:val="00096455"/>
    <w:rsid w:val="000B6255"/>
    <w:rsid w:val="000C398D"/>
    <w:rsid w:val="000C5F18"/>
    <w:rsid w:val="00155CA7"/>
    <w:rsid w:val="00181DC0"/>
    <w:rsid w:val="001A1E73"/>
    <w:rsid w:val="001B2B84"/>
    <w:rsid w:val="001B43BE"/>
    <w:rsid w:val="001D0DFD"/>
    <w:rsid w:val="001D69F7"/>
    <w:rsid w:val="001F259B"/>
    <w:rsid w:val="00211588"/>
    <w:rsid w:val="00225A62"/>
    <w:rsid w:val="002363EA"/>
    <w:rsid w:val="002A27DF"/>
    <w:rsid w:val="002B1AAB"/>
    <w:rsid w:val="002B34DB"/>
    <w:rsid w:val="002C3364"/>
    <w:rsid w:val="002E2C46"/>
    <w:rsid w:val="002E79E6"/>
    <w:rsid w:val="002F45A5"/>
    <w:rsid w:val="0030191D"/>
    <w:rsid w:val="003115CD"/>
    <w:rsid w:val="00331711"/>
    <w:rsid w:val="00360567"/>
    <w:rsid w:val="003976FF"/>
    <w:rsid w:val="003A1DD2"/>
    <w:rsid w:val="003A29FB"/>
    <w:rsid w:val="003C46F5"/>
    <w:rsid w:val="003D34C1"/>
    <w:rsid w:val="00413C1E"/>
    <w:rsid w:val="00423FE0"/>
    <w:rsid w:val="0042753C"/>
    <w:rsid w:val="00454993"/>
    <w:rsid w:val="00465166"/>
    <w:rsid w:val="0048076C"/>
    <w:rsid w:val="004B4371"/>
    <w:rsid w:val="004D55CE"/>
    <w:rsid w:val="005173F0"/>
    <w:rsid w:val="00532D5A"/>
    <w:rsid w:val="00581CE4"/>
    <w:rsid w:val="00582591"/>
    <w:rsid w:val="005914F7"/>
    <w:rsid w:val="00592821"/>
    <w:rsid w:val="00594763"/>
    <w:rsid w:val="005B68E4"/>
    <w:rsid w:val="005F6578"/>
    <w:rsid w:val="006036F3"/>
    <w:rsid w:val="006117F6"/>
    <w:rsid w:val="006161C2"/>
    <w:rsid w:val="0061655F"/>
    <w:rsid w:val="006401E9"/>
    <w:rsid w:val="00684300"/>
    <w:rsid w:val="006A0B0C"/>
    <w:rsid w:val="006A4847"/>
    <w:rsid w:val="006B2937"/>
    <w:rsid w:val="006B7A9A"/>
    <w:rsid w:val="006E51B5"/>
    <w:rsid w:val="007133BA"/>
    <w:rsid w:val="00714284"/>
    <w:rsid w:val="00717F71"/>
    <w:rsid w:val="00732922"/>
    <w:rsid w:val="0073414A"/>
    <w:rsid w:val="00737DF0"/>
    <w:rsid w:val="00757E19"/>
    <w:rsid w:val="007944B9"/>
    <w:rsid w:val="007E6DF8"/>
    <w:rsid w:val="007F01C5"/>
    <w:rsid w:val="008055A9"/>
    <w:rsid w:val="008165BE"/>
    <w:rsid w:val="00826EEE"/>
    <w:rsid w:val="008305C0"/>
    <w:rsid w:val="00877118"/>
    <w:rsid w:val="00884198"/>
    <w:rsid w:val="008A50BF"/>
    <w:rsid w:val="008B56DB"/>
    <w:rsid w:val="008C155A"/>
    <w:rsid w:val="008D1E53"/>
    <w:rsid w:val="008E501E"/>
    <w:rsid w:val="00930BDD"/>
    <w:rsid w:val="00934A02"/>
    <w:rsid w:val="0095440A"/>
    <w:rsid w:val="009B4EEA"/>
    <w:rsid w:val="009B6905"/>
    <w:rsid w:val="009D2C89"/>
    <w:rsid w:val="009E5546"/>
    <w:rsid w:val="009F47BD"/>
    <w:rsid w:val="00A24086"/>
    <w:rsid w:val="00A25F0F"/>
    <w:rsid w:val="00A3148C"/>
    <w:rsid w:val="00A60BB5"/>
    <w:rsid w:val="00A71AFB"/>
    <w:rsid w:val="00A95F6F"/>
    <w:rsid w:val="00AA6120"/>
    <w:rsid w:val="00AA6F8D"/>
    <w:rsid w:val="00AC28A5"/>
    <w:rsid w:val="00B05454"/>
    <w:rsid w:val="00B46D5B"/>
    <w:rsid w:val="00B70443"/>
    <w:rsid w:val="00B77211"/>
    <w:rsid w:val="00B77312"/>
    <w:rsid w:val="00BE0FA5"/>
    <w:rsid w:val="00BE3134"/>
    <w:rsid w:val="00C464A6"/>
    <w:rsid w:val="00C61DFF"/>
    <w:rsid w:val="00CB0044"/>
    <w:rsid w:val="00CD1BDB"/>
    <w:rsid w:val="00D23F9F"/>
    <w:rsid w:val="00D324E6"/>
    <w:rsid w:val="00D34A44"/>
    <w:rsid w:val="00D71871"/>
    <w:rsid w:val="00D72C7A"/>
    <w:rsid w:val="00DA2EF7"/>
    <w:rsid w:val="00DA7779"/>
    <w:rsid w:val="00E00924"/>
    <w:rsid w:val="00E0642E"/>
    <w:rsid w:val="00E43364"/>
    <w:rsid w:val="00E878F3"/>
    <w:rsid w:val="00EA350B"/>
    <w:rsid w:val="00EE24AC"/>
    <w:rsid w:val="00EE5D97"/>
    <w:rsid w:val="00EF245D"/>
    <w:rsid w:val="00EF2833"/>
    <w:rsid w:val="00F13D68"/>
    <w:rsid w:val="00F241BF"/>
    <w:rsid w:val="00F51F0D"/>
    <w:rsid w:val="00F75D74"/>
    <w:rsid w:val="00FA602D"/>
    <w:rsid w:val="00FB12CA"/>
    <w:rsid w:val="00FC1624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11</cp:revision>
  <dcterms:created xsi:type="dcterms:W3CDTF">2022-12-12T13:38:00Z</dcterms:created>
  <dcterms:modified xsi:type="dcterms:W3CDTF">2022-12-29T06:07:00Z</dcterms:modified>
</cp:coreProperties>
</file>