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A72071">
        <w:rPr>
          <w:b/>
          <w:iCs/>
          <w:sz w:val="24"/>
        </w:rPr>
        <w:t>6</w:t>
      </w:r>
    </w:p>
    <w:p w:rsidR="008A32AC" w:rsidRPr="00BF55F1" w:rsidRDefault="001A31B4" w:rsidP="005035C8">
      <w:pPr>
        <w:pStyle w:val="a3"/>
        <w:ind w:firstLine="10490"/>
        <w:jc w:val="right"/>
        <w:rPr>
          <w:b/>
          <w:sz w:val="24"/>
          <w:szCs w:val="24"/>
        </w:rPr>
      </w:pPr>
      <w:r>
        <w:rPr>
          <w:b/>
          <w:sz w:val="24"/>
          <w:szCs w:val="24"/>
        </w:rPr>
        <w:t>«</w:t>
      </w:r>
      <w:r w:rsidR="00A72071">
        <w:rPr>
          <w:b/>
          <w:sz w:val="24"/>
          <w:szCs w:val="24"/>
        </w:rPr>
        <w:t>04</w:t>
      </w:r>
      <w:r>
        <w:rPr>
          <w:b/>
          <w:sz w:val="24"/>
          <w:szCs w:val="24"/>
        </w:rPr>
        <w:t>»</w:t>
      </w:r>
      <w:r w:rsidR="00DF64AA" w:rsidRPr="00BF55F1">
        <w:rPr>
          <w:b/>
          <w:sz w:val="24"/>
          <w:szCs w:val="24"/>
        </w:rPr>
        <w:t xml:space="preserve"> </w:t>
      </w:r>
      <w:r w:rsidR="00A72071">
        <w:rPr>
          <w:b/>
          <w:sz w:val="24"/>
          <w:szCs w:val="24"/>
        </w:rPr>
        <w:t>февраля</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A72071" w:rsidP="005035C8">
      <w:pPr>
        <w:pStyle w:val="a3"/>
        <w:ind w:firstLine="10490"/>
        <w:jc w:val="right"/>
        <w:rPr>
          <w:b/>
          <w:sz w:val="24"/>
          <w:szCs w:val="24"/>
        </w:rPr>
      </w:pPr>
      <w:r>
        <w:rPr>
          <w:b/>
          <w:sz w:val="24"/>
          <w:szCs w:val="24"/>
        </w:rPr>
        <w:t>Время 09</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E175C7">
              <w:rPr>
                <w:b/>
                <w:sz w:val="24"/>
                <w:szCs w:val="24"/>
              </w:rPr>
              <w:t>9</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w:t>
            </w:r>
            <w:r w:rsidRPr="00020E6A">
              <w:rPr>
                <w:b/>
                <w:sz w:val="24"/>
                <w:szCs w:val="24"/>
              </w:rPr>
              <w:t>с</w:t>
            </w:r>
            <w:r w:rsidRPr="00020E6A">
              <w:rPr>
                <w:b/>
                <w:sz w:val="24"/>
                <w:szCs w:val="24"/>
              </w:rPr>
              <w:t>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t>1.</w:t>
            </w:r>
          </w:p>
        </w:tc>
        <w:tc>
          <w:tcPr>
            <w:tcW w:w="3206" w:type="dxa"/>
          </w:tcPr>
          <w:p w:rsidR="009C51CF" w:rsidRPr="00606F58" w:rsidRDefault="009C51CF" w:rsidP="00866AEF">
            <w:r w:rsidRPr="00606F58">
              <w:rPr>
                <w:bCs/>
              </w:rPr>
              <w:t>проект федерального закона № 592228-7 "О внесении и</w:t>
            </w:r>
            <w:r w:rsidRPr="00606F58">
              <w:rPr>
                <w:bCs/>
              </w:rPr>
              <w:t>з</w:t>
            </w:r>
            <w:r w:rsidRPr="00606F58">
              <w:rPr>
                <w:bCs/>
              </w:rPr>
              <w:t>менения в статью 32 Лесн</w:t>
            </w:r>
            <w:r w:rsidRPr="00606F58">
              <w:rPr>
                <w:bCs/>
              </w:rPr>
              <w:t>о</w:t>
            </w:r>
            <w:r w:rsidRPr="00606F58">
              <w:rPr>
                <w:bCs/>
              </w:rPr>
              <w:t>го кодекса Российской Ф</w:t>
            </w:r>
            <w:r w:rsidRPr="00606F58">
              <w:rPr>
                <w:bCs/>
              </w:rPr>
              <w:t>е</w:t>
            </w:r>
            <w:r w:rsidRPr="00606F58">
              <w:rPr>
                <w:bCs/>
              </w:rPr>
              <w:t>дерации"</w:t>
            </w:r>
          </w:p>
        </w:tc>
        <w:tc>
          <w:tcPr>
            <w:tcW w:w="1843" w:type="dxa"/>
          </w:tcPr>
          <w:p w:rsidR="009C51CF" w:rsidRPr="00606F58" w:rsidRDefault="009C51CF">
            <w:r w:rsidRPr="00606F58">
              <w:t>А.В. Дятлов</w:t>
            </w:r>
          </w:p>
        </w:tc>
        <w:tc>
          <w:tcPr>
            <w:tcW w:w="5528" w:type="dxa"/>
          </w:tcPr>
          <w:p w:rsidR="009C51CF" w:rsidRPr="00606F58" w:rsidRDefault="00496277" w:rsidP="00866AEF">
            <w:r w:rsidRPr="00606F58">
              <w:t>Предлагается внести изменение в статью «Загото</w:t>
            </w:r>
            <w:r w:rsidRPr="00606F58">
              <w:t>в</w:t>
            </w:r>
            <w:r w:rsidRPr="00606F58">
              <w:t xml:space="preserve">ка и сбор </w:t>
            </w:r>
            <w:proofErr w:type="spellStart"/>
            <w:r w:rsidRPr="00606F58">
              <w:t>недревесных</w:t>
            </w:r>
            <w:proofErr w:type="spellEnd"/>
            <w:r w:rsidRPr="00606F58">
              <w:t xml:space="preserve"> лесных ресурсов», устана</w:t>
            </w:r>
            <w:r w:rsidRPr="00606F58">
              <w:t>в</w:t>
            </w:r>
            <w:r w:rsidRPr="00606F58">
              <w:t xml:space="preserve">ливающую перечень видов </w:t>
            </w:r>
            <w:proofErr w:type="spellStart"/>
            <w:r w:rsidRPr="00606F58">
              <w:t>недревесных</w:t>
            </w:r>
            <w:proofErr w:type="spellEnd"/>
            <w:r w:rsidRPr="00606F58">
              <w:t xml:space="preserve"> лесных ресурсов, заготовка и сбор которых гражданами осуществляются  свободно и бесплатно исключ</w:t>
            </w:r>
            <w:r w:rsidRPr="00606F58">
              <w:t>и</w:t>
            </w:r>
            <w:r w:rsidRPr="00606F58">
              <w:t>тельно для собственных нужд, т. е. для целей от</w:t>
            </w:r>
            <w:r w:rsidRPr="00606F58">
              <w:t>о</w:t>
            </w:r>
            <w:r w:rsidRPr="00606F58">
              <w:t>пления, возведения строений без возможности их использования в целях предпринимательской, коммерческой деятельности. Изменение вносится с целью устранения ситуации правовой неопред</w:t>
            </w:r>
            <w:r w:rsidRPr="00606F58">
              <w:t>е</w:t>
            </w:r>
            <w:r w:rsidRPr="00606F58">
              <w:t xml:space="preserve">ленности: так, введенное понятие «валежник» не было представлено ни в более ранних российских законодательных актах, ни в актах СССР. </w:t>
            </w:r>
            <w:r w:rsidR="00606F58" w:rsidRPr="00606F58">
              <w:rPr>
                <w:bCs/>
              </w:rPr>
              <w:t>Комитет</w:t>
            </w:r>
            <w:r w:rsidRPr="00606F58">
              <w:rPr>
                <w:bCs/>
              </w:rPr>
              <w:t xml:space="preserve"> не поддерживает данный законопроект, в связи с тем, что у</w:t>
            </w:r>
            <w:r w:rsidRPr="00606F58">
              <w:rPr>
                <w:color w:val="000000"/>
              </w:rPr>
              <w:t>борка ветровальной древесины относится к санитарно-оздоровительным мероприятиям. В</w:t>
            </w:r>
            <w:r w:rsidRPr="00606F58">
              <w:rPr>
                <w:color w:val="000000"/>
              </w:rPr>
              <w:t>о</w:t>
            </w:r>
            <w:r w:rsidRPr="00606F58">
              <w:rPr>
                <w:color w:val="000000"/>
              </w:rPr>
              <w:t>просы осуществления санитарно-оздоровительных мероприятий регулируются главой 3.1 Лесного к</w:t>
            </w:r>
            <w:r w:rsidRPr="00606F58">
              <w:rPr>
                <w:color w:val="000000"/>
              </w:rPr>
              <w:t>о</w:t>
            </w:r>
            <w:r w:rsidRPr="00606F58">
              <w:rPr>
                <w:color w:val="000000"/>
              </w:rPr>
              <w:t>декса Российской Федерации. Положениями Ле</w:t>
            </w:r>
            <w:r w:rsidRPr="00606F58">
              <w:rPr>
                <w:color w:val="000000"/>
              </w:rPr>
              <w:t>с</w:t>
            </w:r>
            <w:r w:rsidRPr="00606F58">
              <w:rPr>
                <w:color w:val="000000"/>
              </w:rPr>
              <w:t>ного кодекса Российской Федерации не пред</w:t>
            </w:r>
            <w:r w:rsidRPr="00606F58">
              <w:rPr>
                <w:color w:val="000000"/>
              </w:rPr>
              <w:t>у</w:t>
            </w:r>
            <w:r w:rsidRPr="00606F58">
              <w:rPr>
                <w:color w:val="000000"/>
              </w:rPr>
              <w:t>сматривается выполнение гражданами осущест</w:t>
            </w:r>
            <w:r w:rsidRPr="00606F58">
              <w:rPr>
                <w:color w:val="000000"/>
              </w:rPr>
              <w:t>в</w:t>
            </w:r>
            <w:r w:rsidRPr="00606F58">
              <w:rPr>
                <w:color w:val="000000"/>
              </w:rPr>
              <w:t>ляющими заготовку лесных ресурсов для собс</w:t>
            </w:r>
            <w:r w:rsidRPr="00606F58">
              <w:rPr>
                <w:color w:val="000000"/>
              </w:rPr>
              <w:t>т</w:t>
            </w:r>
            <w:r w:rsidRPr="00606F58">
              <w:rPr>
                <w:color w:val="000000"/>
              </w:rPr>
              <w:t>венных нужд каких-либо лесохозяйственных м</w:t>
            </w:r>
            <w:r w:rsidRPr="00606F58">
              <w:rPr>
                <w:color w:val="000000"/>
              </w:rPr>
              <w:t>е</w:t>
            </w:r>
            <w:r w:rsidRPr="00606F58">
              <w:rPr>
                <w:color w:val="000000"/>
              </w:rPr>
              <w:t>роприятий.</w:t>
            </w:r>
          </w:p>
        </w:tc>
        <w:tc>
          <w:tcPr>
            <w:tcW w:w="1843" w:type="dxa"/>
          </w:tcPr>
          <w:p w:rsidR="009C51CF" w:rsidRDefault="009C51CF">
            <w:r w:rsidRPr="00D900B6">
              <w:t>вне плана</w:t>
            </w:r>
          </w:p>
        </w:tc>
        <w:tc>
          <w:tcPr>
            <w:tcW w:w="2268" w:type="dxa"/>
          </w:tcPr>
          <w:p w:rsidR="009C51CF" w:rsidRPr="00866AEF" w:rsidRDefault="009C51CF" w:rsidP="00866AEF">
            <w:pPr>
              <w:pStyle w:val="a3"/>
              <w:ind w:firstLine="0"/>
              <w:rPr>
                <w:sz w:val="24"/>
                <w:szCs w:val="24"/>
              </w:rPr>
            </w:pPr>
            <w:r>
              <w:rPr>
                <w:sz w:val="24"/>
                <w:szCs w:val="24"/>
              </w:rPr>
              <w:t>не поддерживать</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t>2.</w:t>
            </w:r>
          </w:p>
        </w:tc>
        <w:tc>
          <w:tcPr>
            <w:tcW w:w="3206" w:type="dxa"/>
          </w:tcPr>
          <w:p w:rsidR="009C51CF" w:rsidRPr="00606F58" w:rsidRDefault="009C51CF" w:rsidP="00866AEF">
            <w:pPr>
              <w:jc w:val="both"/>
            </w:pPr>
            <w:r w:rsidRPr="00606F58">
              <w:rPr>
                <w:bCs/>
              </w:rPr>
              <w:t xml:space="preserve">проект федерального закона "О внесении изменения в </w:t>
            </w:r>
            <w:r w:rsidRPr="00606F58">
              <w:rPr>
                <w:bCs/>
              </w:rPr>
              <w:lastRenderedPageBreak/>
              <w:t>статью 43 Федерального з</w:t>
            </w:r>
            <w:r w:rsidRPr="00606F58">
              <w:rPr>
                <w:bCs/>
              </w:rPr>
              <w:t>а</w:t>
            </w:r>
            <w:r w:rsidRPr="00606F58">
              <w:rPr>
                <w:bCs/>
              </w:rPr>
              <w:t xml:space="preserve">кона "Об охоте </w:t>
            </w:r>
            <w:proofErr w:type="gramStart"/>
            <w:r w:rsidRPr="00606F58">
              <w:rPr>
                <w:bCs/>
              </w:rPr>
              <w:t>и</w:t>
            </w:r>
            <w:proofErr w:type="gramEnd"/>
            <w:r w:rsidRPr="00606F58">
              <w:rPr>
                <w:bCs/>
              </w:rPr>
              <w:t xml:space="preserve"> о сохран</w:t>
            </w:r>
            <w:r w:rsidRPr="00606F58">
              <w:rPr>
                <w:bCs/>
              </w:rPr>
              <w:t>е</w:t>
            </w:r>
            <w:r w:rsidRPr="00606F58">
              <w:rPr>
                <w:bCs/>
              </w:rPr>
              <w:t>нии охотничьих ресурсов и о внесении изменений в о</w:t>
            </w:r>
            <w:r w:rsidRPr="00606F58">
              <w:rPr>
                <w:bCs/>
              </w:rPr>
              <w:t>т</w:t>
            </w:r>
            <w:r w:rsidRPr="00606F58">
              <w:rPr>
                <w:bCs/>
              </w:rPr>
              <w:t>дельные законодательные акты Российской Федер</w:t>
            </w:r>
            <w:r w:rsidRPr="00606F58">
              <w:rPr>
                <w:bCs/>
              </w:rPr>
              <w:t>а</w:t>
            </w:r>
            <w:r w:rsidRPr="00606F58">
              <w:rPr>
                <w:bCs/>
              </w:rPr>
              <w:t>ции"</w:t>
            </w:r>
          </w:p>
        </w:tc>
        <w:tc>
          <w:tcPr>
            <w:tcW w:w="1843" w:type="dxa"/>
          </w:tcPr>
          <w:p w:rsidR="009C51CF" w:rsidRPr="00606F58" w:rsidRDefault="009C51CF">
            <w:r w:rsidRPr="00606F58">
              <w:lastRenderedPageBreak/>
              <w:t>А.В. Дятлов</w:t>
            </w:r>
          </w:p>
        </w:tc>
        <w:tc>
          <w:tcPr>
            <w:tcW w:w="5528" w:type="dxa"/>
          </w:tcPr>
          <w:p w:rsidR="009C51CF" w:rsidRPr="00606F58" w:rsidRDefault="009C51CF" w:rsidP="00866AEF">
            <w:pPr>
              <w:jc w:val="both"/>
            </w:pPr>
            <w:r w:rsidRPr="00606F58">
              <w:rPr>
                <w:szCs w:val="28"/>
              </w:rPr>
              <w:t>Предлагается изложить статью 43 в новой реда</w:t>
            </w:r>
            <w:r w:rsidRPr="00606F58">
              <w:rPr>
                <w:szCs w:val="28"/>
              </w:rPr>
              <w:t>к</w:t>
            </w:r>
            <w:r w:rsidRPr="00606F58">
              <w:rPr>
                <w:szCs w:val="28"/>
              </w:rPr>
              <w:t xml:space="preserve">ции, согласно которой к мероприятиям по защите </w:t>
            </w:r>
            <w:r w:rsidRPr="00606F58">
              <w:rPr>
                <w:szCs w:val="28"/>
              </w:rPr>
              <w:lastRenderedPageBreak/>
              <w:t>охотничьих ресурсов от болезней относятся пр</w:t>
            </w:r>
            <w:r w:rsidRPr="00606F58">
              <w:rPr>
                <w:szCs w:val="28"/>
              </w:rPr>
              <w:t>о</w:t>
            </w:r>
            <w:r w:rsidRPr="00606F58">
              <w:rPr>
                <w:szCs w:val="28"/>
              </w:rPr>
              <w:t>филактические, диагностические, лечебные, огр</w:t>
            </w:r>
            <w:r w:rsidRPr="00606F58">
              <w:rPr>
                <w:szCs w:val="28"/>
              </w:rPr>
              <w:t>а</w:t>
            </w:r>
            <w:r w:rsidRPr="00606F58">
              <w:rPr>
                <w:szCs w:val="28"/>
              </w:rPr>
              <w:t>ничительные и иные мероприятия, установление и отмена на территории Российской Федерации к</w:t>
            </w:r>
            <w:r w:rsidRPr="00606F58">
              <w:rPr>
                <w:szCs w:val="28"/>
              </w:rPr>
              <w:t>а</w:t>
            </w:r>
            <w:r w:rsidRPr="00606F58">
              <w:rPr>
                <w:szCs w:val="28"/>
              </w:rPr>
              <w:t>рантина и иных ограничений, направленных на предотвращение распространения и ликвидацию очагов заразных и иных болезней охотничьих р</w:t>
            </w:r>
            <w:r w:rsidRPr="00606F58">
              <w:rPr>
                <w:szCs w:val="28"/>
              </w:rPr>
              <w:t>е</w:t>
            </w:r>
            <w:r w:rsidRPr="00606F58">
              <w:rPr>
                <w:szCs w:val="28"/>
              </w:rPr>
              <w:t>сурсов.</w:t>
            </w:r>
            <w:r w:rsidRPr="00606F58">
              <w:rPr>
                <w:bCs/>
                <w:szCs w:val="28"/>
              </w:rPr>
              <w:t xml:space="preserve"> Это </w:t>
            </w:r>
            <w:r w:rsidRPr="00606F58">
              <w:rPr>
                <w:color w:val="000000"/>
                <w:szCs w:val="28"/>
              </w:rPr>
              <w:t>послужит единообразному примен</w:t>
            </w:r>
            <w:r w:rsidRPr="00606F58">
              <w:rPr>
                <w:color w:val="000000"/>
                <w:szCs w:val="28"/>
              </w:rPr>
              <w:t>е</w:t>
            </w:r>
            <w:r w:rsidRPr="00606F58">
              <w:rPr>
                <w:color w:val="000000"/>
                <w:szCs w:val="28"/>
              </w:rPr>
              <w:t xml:space="preserve">нию </w:t>
            </w:r>
            <w:r w:rsidRPr="00606F58">
              <w:rPr>
                <w:bCs/>
                <w:szCs w:val="28"/>
              </w:rPr>
              <w:t xml:space="preserve">Федерального закона "Об охоте </w:t>
            </w:r>
            <w:proofErr w:type="gramStart"/>
            <w:r w:rsidRPr="00606F58">
              <w:rPr>
                <w:bCs/>
                <w:szCs w:val="28"/>
              </w:rPr>
              <w:t>и</w:t>
            </w:r>
            <w:proofErr w:type="gramEnd"/>
            <w:r w:rsidRPr="00606F58">
              <w:rPr>
                <w:bCs/>
                <w:szCs w:val="28"/>
              </w:rPr>
              <w:t xml:space="preserve"> о сохран</w:t>
            </w:r>
            <w:r w:rsidRPr="00606F58">
              <w:rPr>
                <w:bCs/>
                <w:szCs w:val="28"/>
              </w:rPr>
              <w:t>е</w:t>
            </w:r>
            <w:r w:rsidRPr="00606F58">
              <w:rPr>
                <w:bCs/>
                <w:szCs w:val="28"/>
              </w:rPr>
              <w:t>нии охотничьих ресурсов и о внесении изменений в отдельные законодательные акты Российской Федерации"</w:t>
            </w:r>
            <w:r w:rsidRPr="00606F58">
              <w:rPr>
                <w:color w:val="000000"/>
                <w:szCs w:val="28"/>
              </w:rPr>
              <w:t>, устранит выявленную Конституцио</w:t>
            </w:r>
            <w:r w:rsidRPr="00606F58">
              <w:rPr>
                <w:color w:val="000000"/>
                <w:szCs w:val="28"/>
              </w:rPr>
              <w:t>н</w:t>
            </w:r>
            <w:r w:rsidRPr="00606F58">
              <w:rPr>
                <w:color w:val="000000"/>
                <w:szCs w:val="28"/>
              </w:rPr>
              <w:t>ным Судом Российской Федерации правовую н</w:t>
            </w:r>
            <w:r w:rsidRPr="00606F58">
              <w:rPr>
                <w:color w:val="000000"/>
                <w:szCs w:val="28"/>
              </w:rPr>
              <w:t>е</w:t>
            </w:r>
            <w:r w:rsidRPr="00606F58">
              <w:rPr>
                <w:color w:val="000000"/>
                <w:szCs w:val="28"/>
              </w:rPr>
              <w:t>определенность его применения.</w:t>
            </w:r>
          </w:p>
        </w:tc>
        <w:tc>
          <w:tcPr>
            <w:tcW w:w="1843" w:type="dxa"/>
          </w:tcPr>
          <w:p w:rsidR="009C51CF" w:rsidRDefault="009C51CF">
            <w:r w:rsidRPr="00D900B6">
              <w:lastRenderedPageBreak/>
              <w:t>вне плана</w:t>
            </w:r>
          </w:p>
        </w:tc>
        <w:tc>
          <w:tcPr>
            <w:tcW w:w="2268" w:type="dxa"/>
          </w:tcPr>
          <w:p w:rsidR="009C51CF" w:rsidRPr="00866AEF" w:rsidRDefault="009C51CF" w:rsidP="00866F60">
            <w:pPr>
              <w:pStyle w:val="a3"/>
              <w:ind w:firstLine="0"/>
              <w:rPr>
                <w:sz w:val="24"/>
                <w:szCs w:val="24"/>
              </w:rPr>
            </w:pPr>
            <w:r>
              <w:rPr>
                <w:sz w:val="24"/>
                <w:szCs w:val="24"/>
              </w:rPr>
              <w:t>поддержать</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lastRenderedPageBreak/>
              <w:t>3.</w:t>
            </w:r>
          </w:p>
        </w:tc>
        <w:tc>
          <w:tcPr>
            <w:tcW w:w="3206" w:type="dxa"/>
          </w:tcPr>
          <w:p w:rsidR="009C51CF" w:rsidRPr="00606F58" w:rsidRDefault="009C51CF" w:rsidP="00FC64B5">
            <w:pPr>
              <w:pStyle w:val="ConsPlusNormal"/>
              <w:widowControl w:val="0"/>
              <w:ind w:firstLine="0"/>
              <w:jc w:val="both"/>
              <w:rPr>
                <w:rFonts w:ascii="Times New Roman" w:hAnsi="Times New Roman" w:cs="Times New Roman"/>
                <w:bCs/>
                <w:sz w:val="24"/>
                <w:szCs w:val="24"/>
              </w:rPr>
            </w:pPr>
            <w:r w:rsidRPr="00606F58">
              <w:rPr>
                <w:rFonts w:ascii="Times New Roman" w:hAnsi="Times New Roman"/>
                <w:bCs/>
                <w:sz w:val="24"/>
                <w:szCs w:val="24"/>
              </w:rPr>
              <w:t>проект федерального закона "О внесении изменений в Водный кодекс Российской Федерации в части введения реестра недобросовестных водопользователей и учас</w:t>
            </w:r>
            <w:r w:rsidRPr="00606F58">
              <w:rPr>
                <w:rFonts w:ascii="Times New Roman" w:hAnsi="Times New Roman"/>
                <w:bCs/>
                <w:sz w:val="24"/>
                <w:szCs w:val="24"/>
              </w:rPr>
              <w:t>т</w:t>
            </w:r>
            <w:r w:rsidRPr="00606F58">
              <w:rPr>
                <w:rFonts w:ascii="Times New Roman" w:hAnsi="Times New Roman"/>
                <w:bCs/>
                <w:sz w:val="24"/>
                <w:szCs w:val="24"/>
              </w:rPr>
              <w:t>ников аукциона на право з</w:t>
            </w:r>
            <w:r w:rsidRPr="00606F58">
              <w:rPr>
                <w:rFonts w:ascii="Times New Roman" w:hAnsi="Times New Roman"/>
                <w:bCs/>
                <w:sz w:val="24"/>
                <w:szCs w:val="24"/>
              </w:rPr>
              <w:t>а</w:t>
            </w:r>
            <w:r w:rsidRPr="00606F58">
              <w:rPr>
                <w:rFonts w:ascii="Times New Roman" w:hAnsi="Times New Roman"/>
                <w:bCs/>
                <w:sz w:val="24"/>
                <w:szCs w:val="24"/>
              </w:rPr>
              <w:t>ключения договора вод</w:t>
            </w:r>
            <w:r w:rsidRPr="00606F58">
              <w:rPr>
                <w:rFonts w:ascii="Times New Roman" w:hAnsi="Times New Roman"/>
                <w:bCs/>
                <w:sz w:val="24"/>
                <w:szCs w:val="24"/>
              </w:rPr>
              <w:t>о</w:t>
            </w:r>
            <w:r w:rsidRPr="00606F58">
              <w:rPr>
                <w:rFonts w:ascii="Times New Roman" w:hAnsi="Times New Roman"/>
                <w:bCs/>
                <w:sz w:val="24"/>
                <w:szCs w:val="24"/>
              </w:rPr>
              <w:t>пользования"</w:t>
            </w:r>
          </w:p>
        </w:tc>
        <w:tc>
          <w:tcPr>
            <w:tcW w:w="1843" w:type="dxa"/>
          </w:tcPr>
          <w:p w:rsidR="009C51CF" w:rsidRPr="00606F58" w:rsidRDefault="009C51CF" w:rsidP="005035C8">
            <w:pPr>
              <w:jc w:val="both"/>
            </w:pPr>
            <w:r w:rsidRPr="00606F58">
              <w:t>А.В. Дятлов</w:t>
            </w:r>
          </w:p>
        </w:tc>
        <w:tc>
          <w:tcPr>
            <w:tcW w:w="5528" w:type="dxa"/>
          </w:tcPr>
          <w:p w:rsidR="009C51CF" w:rsidRPr="00606F58" w:rsidRDefault="00B30A43" w:rsidP="00B30A43">
            <w:pPr>
              <w:jc w:val="both"/>
              <w:rPr>
                <w:szCs w:val="28"/>
              </w:rPr>
            </w:pPr>
            <w:r w:rsidRPr="00606F58">
              <w:rPr>
                <w:szCs w:val="28"/>
              </w:rPr>
              <w:t>Проект направлен на устранение случаев недобр</w:t>
            </w:r>
            <w:r w:rsidRPr="00606F58">
              <w:rPr>
                <w:szCs w:val="28"/>
              </w:rPr>
              <w:t>о</w:t>
            </w:r>
            <w:r w:rsidRPr="00606F58">
              <w:rPr>
                <w:szCs w:val="28"/>
              </w:rPr>
              <w:t>совестного использования водных объектов, а та</w:t>
            </w:r>
            <w:r w:rsidRPr="00606F58">
              <w:rPr>
                <w:szCs w:val="28"/>
              </w:rPr>
              <w:t>к</w:t>
            </w:r>
            <w:r w:rsidRPr="00606F58">
              <w:rPr>
                <w:szCs w:val="28"/>
              </w:rPr>
              <w:t>же совершенствование процедуры проведения ау</w:t>
            </w:r>
            <w:r w:rsidRPr="00606F58">
              <w:rPr>
                <w:szCs w:val="28"/>
              </w:rPr>
              <w:t>к</w:t>
            </w:r>
            <w:r w:rsidRPr="00606F58">
              <w:rPr>
                <w:szCs w:val="28"/>
              </w:rPr>
              <w:t>циона на право заключения договора водопольз</w:t>
            </w:r>
            <w:r w:rsidRPr="00606F58">
              <w:rPr>
                <w:szCs w:val="28"/>
              </w:rPr>
              <w:t>о</w:t>
            </w:r>
            <w:r w:rsidRPr="00606F58">
              <w:rPr>
                <w:szCs w:val="28"/>
              </w:rPr>
              <w:t>вания путем введения института реестра недобр</w:t>
            </w:r>
            <w:r w:rsidRPr="00606F58">
              <w:rPr>
                <w:szCs w:val="28"/>
              </w:rPr>
              <w:t>о</w:t>
            </w:r>
            <w:r w:rsidRPr="00606F58">
              <w:rPr>
                <w:szCs w:val="28"/>
              </w:rPr>
              <w:t xml:space="preserve">совестных водопользователей. </w:t>
            </w:r>
            <w:r w:rsidRPr="00606F58">
              <w:rPr>
                <w:color w:val="000000"/>
                <w:szCs w:val="28"/>
              </w:rPr>
              <w:t>Проектируемые и</w:t>
            </w:r>
            <w:r w:rsidRPr="00606F58">
              <w:rPr>
                <w:color w:val="000000"/>
                <w:szCs w:val="28"/>
              </w:rPr>
              <w:t>з</w:t>
            </w:r>
            <w:r w:rsidRPr="00606F58">
              <w:rPr>
                <w:color w:val="000000"/>
                <w:szCs w:val="28"/>
              </w:rPr>
              <w:t xml:space="preserve">менения в </w:t>
            </w:r>
            <w:r w:rsidRPr="00606F58">
              <w:rPr>
                <w:bCs/>
                <w:szCs w:val="28"/>
              </w:rPr>
              <w:t xml:space="preserve">Водный кодекс Российской Федерации </w:t>
            </w:r>
            <w:r w:rsidRPr="00606F58">
              <w:rPr>
                <w:color w:val="000000"/>
                <w:szCs w:val="28"/>
              </w:rPr>
              <w:t>позволят снизить возможность возникновения с</w:t>
            </w:r>
            <w:r w:rsidRPr="00606F58">
              <w:rPr>
                <w:color w:val="000000"/>
                <w:szCs w:val="28"/>
              </w:rPr>
              <w:t>о</w:t>
            </w:r>
            <w:r w:rsidRPr="00606F58">
              <w:rPr>
                <w:color w:val="000000"/>
                <w:szCs w:val="28"/>
              </w:rPr>
              <w:t>циально-экономических рисков, повысить уровень эффективности управления и использования во</w:t>
            </w:r>
            <w:r w:rsidRPr="00606F58">
              <w:rPr>
                <w:color w:val="000000"/>
                <w:szCs w:val="28"/>
              </w:rPr>
              <w:t>д</w:t>
            </w:r>
            <w:r w:rsidRPr="00606F58">
              <w:rPr>
                <w:color w:val="000000"/>
                <w:szCs w:val="28"/>
              </w:rPr>
              <w:t>ными ресурсами.</w:t>
            </w:r>
          </w:p>
        </w:tc>
        <w:tc>
          <w:tcPr>
            <w:tcW w:w="1843" w:type="dxa"/>
          </w:tcPr>
          <w:p w:rsidR="009C51CF" w:rsidRDefault="009C51CF">
            <w:r w:rsidRPr="00D900B6">
              <w:t>вне плана</w:t>
            </w:r>
          </w:p>
        </w:tc>
        <w:tc>
          <w:tcPr>
            <w:tcW w:w="2268" w:type="dxa"/>
          </w:tcPr>
          <w:p w:rsidR="009C51CF" w:rsidRPr="00866AEF" w:rsidRDefault="009C51CF" w:rsidP="00866F60">
            <w:pPr>
              <w:pStyle w:val="a3"/>
              <w:ind w:firstLine="0"/>
              <w:rPr>
                <w:sz w:val="24"/>
                <w:szCs w:val="24"/>
              </w:rPr>
            </w:pPr>
            <w:r>
              <w:rPr>
                <w:sz w:val="24"/>
                <w:szCs w:val="24"/>
              </w:rPr>
              <w:t>поддержать</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t>4.</w:t>
            </w:r>
          </w:p>
        </w:tc>
        <w:tc>
          <w:tcPr>
            <w:tcW w:w="3206" w:type="dxa"/>
          </w:tcPr>
          <w:p w:rsidR="009C51CF" w:rsidRPr="00606F58" w:rsidRDefault="009C51CF" w:rsidP="00FC64B5">
            <w:pPr>
              <w:pStyle w:val="ConsPlusNormal"/>
              <w:widowControl w:val="0"/>
              <w:ind w:firstLine="0"/>
              <w:jc w:val="both"/>
              <w:rPr>
                <w:rFonts w:ascii="Times New Roman" w:hAnsi="Times New Roman" w:cs="Times New Roman"/>
                <w:bCs/>
                <w:sz w:val="24"/>
                <w:szCs w:val="24"/>
              </w:rPr>
            </w:pPr>
            <w:r w:rsidRPr="00606F58">
              <w:rPr>
                <w:rFonts w:ascii="Times New Roman" w:hAnsi="Times New Roman"/>
                <w:bCs/>
                <w:sz w:val="24"/>
                <w:szCs w:val="24"/>
              </w:rPr>
              <w:t>проект федерального закона «</w:t>
            </w:r>
            <w:r w:rsidRPr="00606F58">
              <w:rPr>
                <w:rFonts w:ascii="Times New Roman" w:hAnsi="Times New Roman"/>
                <w:bCs/>
                <w:smallCaps/>
                <w:sz w:val="24"/>
                <w:szCs w:val="24"/>
              </w:rPr>
              <w:t xml:space="preserve">О </w:t>
            </w:r>
            <w:r w:rsidRPr="00606F58">
              <w:rPr>
                <w:rFonts w:ascii="Times New Roman" w:hAnsi="Times New Roman"/>
                <w:bCs/>
                <w:sz w:val="24"/>
                <w:szCs w:val="24"/>
              </w:rPr>
              <w:t>внесении изменений Ф</w:t>
            </w:r>
            <w:r w:rsidRPr="00606F58">
              <w:rPr>
                <w:rFonts w:ascii="Times New Roman" w:hAnsi="Times New Roman"/>
                <w:bCs/>
                <w:sz w:val="24"/>
                <w:szCs w:val="24"/>
              </w:rPr>
              <w:t>е</w:t>
            </w:r>
            <w:r w:rsidRPr="00606F58">
              <w:rPr>
                <w:rFonts w:ascii="Times New Roman" w:hAnsi="Times New Roman"/>
                <w:bCs/>
                <w:sz w:val="24"/>
                <w:szCs w:val="24"/>
              </w:rPr>
              <w:t>деральный закон от 24.06.1998 года N 89-ФЗ «Об отходах производства и п</w:t>
            </w:r>
            <w:r w:rsidRPr="00606F58">
              <w:rPr>
                <w:rFonts w:ascii="Times New Roman" w:hAnsi="Times New Roman"/>
                <w:bCs/>
                <w:sz w:val="24"/>
                <w:szCs w:val="24"/>
              </w:rPr>
              <w:t>о</w:t>
            </w:r>
            <w:r w:rsidRPr="00606F58">
              <w:rPr>
                <w:rFonts w:ascii="Times New Roman" w:hAnsi="Times New Roman"/>
                <w:bCs/>
                <w:sz w:val="24"/>
                <w:szCs w:val="24"/>
              </w:rPr>
              <w:t>требления»</w:t>
            </w:r>
          </w:p>
        </w:tc>
        <w:tc>
          <w:tcPr>
            <w:tcW w:w="1843" w:type="dxa"/>
          </w:tcPr>
          <w:p w:rsidR="009C51CF" w:rsidRPr="00606F58" w:rsidRDefault="009C51CF">
            <w:r w:rsidRPr="00606F58">
              <w:t>А.В. Дятлов</w:t>
            </w:r>
          </w:p>
        </w:tc>
        <w:tc>
          <w:tcPr>
            <w:tcW w:w="5528" w:type="dxa"/>
          </w:tcPr>
          <w:p w:rsidR="009C51CF" w:rsidRPr="00606F58" w:rsidRDefault="00D37CAF" w:rsidP="00866AEF">
            <w:pPr>
              <w:jc w:val="both"/>
              <w:rPr>
                <w:szCs w:val="28"/>
              </w:rPr>
            </w:pPr>
            <w:r w:rsidRPr="00606F58">
              <w:rPr>
                <w:szCs w:val="28"/>
              </w:rPr>
              <w:t>Проект предусматривает установление безнали</w:t>
            </w:r>
            <w:r w:rsidRPr="00606F58">
              <w:rPr>
                <w:szCs w:val="28"/>
              </w:rPr>
              <w:t>ч</w:t>
            </w:r>
            <w:r w:rsidRPr="00606F58">
              <w:rPr>
                <w:szCs w:val="28"/>
              </w:rPr>
              <w:t>ной формы расчетов при</w:t>
            </w:r>
            <w:r w:rsidRPr="00606F58">
              <w:rPr>
                <w:color w:val="000000"/>
                <w:szCs w:val="28"/>
              </w:rPr>
              <w:t xml:space="preserve"> осуществлении деятел</w:t>
            </w:r>
            <w:r w:rsidRPr="00606F58">
              <w:rPr>
                <w:color w:val="000000"/>
                <w:szCs w:val="28"/>
              </w:rPr>
              <w:t>ь</w:t>
            </w:r>
            <w:r w:rsidRPr="00606F58">
              <w:rPr>
                <w:color w:val="000000"/>
                <w:szCs w:val="28"/>
              </w:rPr>
              <w:t>ности по приему у физических лиц лома и отходов цветных и (или) черных металлов в целях их дал</w:t>
            </w:r>
            <w:r w:rsidRPr="00606F58">
              <w:rPr>
                <w:color w:val="000000"/>
                <w:szCs w:val="28"/>
              </w:rPr>
              <w:t>ь</w:t>
            </w:r>
            <w:r w:rsidRPr="00606F58">
              <w:rPr>
                <w:color w:val="000000"/>
                <w:szCs w:val="28"/>
              </w:rPr>
              <w:t>нейших заготовки, хранения, переработки, утил</w:t>
            </w:r>
            <w:r w:rsidRPr="00606F58">
              <w:rPr>
                <w:color w:val="000000"/>
                <w:szCs w:val="28"/>
              </w:rPr>
              <w:t>и</w:t>
            </w:r>
            <w:r w:rsidRPr="00606F58">
              <w:rPr>
                <w:color w:val="000000"/>
                <w:szCs w:val="28"/>
              </w:rPr>
              <w:t>зации, обезвреживания, транспортирования, ра</w:t>
            </w:r>
            <w:r w:rsidRPr="00606F58">
              <w:rPr>
                <w:color w:val="000000"/>
                <w:szCs w:val="28"/>
              </w:rPr>
              <w:t>з</w:t>
            </w:r>
            <w:r w:rsidRPr="00606F58">
              <w:rPr>
                <w:color w:val="000000"/>
                <w:szCs w:val="28"/>
              </w:rPr>
              <w:t>мещения, и реализации.</w:t>
            </w:r>
            <w:r w:rsidRPr="00606F58">
              <w:rPr>
                <w:szCs w:val="28"/>
              </w:rPr>
              <w:t xml:space="preserve"> При этом проект сохран</w:t>
            </w:r>
            <w:r w:rsidRPr="00606F58">
              <w:rPr>
                <w:szCs w:val="28"/>
              </w:rPr>
              <w:t>я</w:t>
            </w:r>
            <w:r w:rsidRPr="00606F58">
              <w:rPr>
                <w:szCs w:val="28"/>
              </w:rPr>
              <w:t xml:space="preserve">ет возможность расчетов в наличной форме, если такие расчеты ограничены 10 000 рублей на одно физическое лицо при условии, </w:t>
            </w:r>
            <w:r w:rsidRPr="00606F58">
              <w:rPr>
                <w:color w:val="000000"/>
                <w:szCs w:val="28"/>
              </w:rPr>
              <w:t>что общая сумма расчетов наличными денежными средствами  с</w:t>
            </w:r>
            <w:r w:rsidRPr="00606F58">
              <w:rPr>
                <w:color w:val="000000"/>
                <w:szCs w:val="28"/>
              </w:rPr>
              <w:t>о</w:t>
            </w:r>
            <w:r w:rsidRPr="00606F58">
              <w:rPr>
                <w:color w:val="000000"/>
                <w:szCs w:val="28"/>
              </w:rPr>
              <w:t xml:space="preserve">ставляет не более 50 000 рублей в течение одного </w:t>
            </w:r>
            <w:r w:rsidRPr="00606F58">
              <w:rPr>
                <w:color w:val="000000"/>
                <w:szCs w:val="28"/>
              </w:rPr>
              <w:lastRenderedPageBreak/>
              <w:t xml:space="preserve">календарного месяца. Предлагаемые изменения </w:t>
            </w:r>
            <w:proofErr w:type="gramStart"/>
            <w:r w:rsidRPr="00606F58">
              <w:rPr>
                <w:color w:val="000000"/>
                <w:szCs w:val="28"/>
              </w:rPr>
              <w:t>повышают прозрачность данной отрасли эконом</w:t>
            </w:r>
            <w:r w:rsidRPr="00606F58">
              <w:rPr>
                <w:color w:val="000000"/>
                <w:szCs w:val="28"/>
              </w:rPr>
              <w:t>и</w:t>
            </w:r>
            <w:r w:rsidRPr="00606F58">
              <w:rPr>
                <w:color w:val="000000"/>
                <w:szCs w:val="28"/>
              </w:rPr>
              <w:t>ки для государства и укрепляют</w:t>
            </w:r>
            <w:proofErr w:type="gramEnd"/>
            <w:r w:rsidRPr="00606F58">
              <w:rPr>
                <w:color w:val="000000"/>
                <w:szCs w:val="28"/>
              </w:rPr>
              <w:t xml:space="preserve"> экономическое положение добросовестных участников рынка.</w:t>
            </w:r>
          </w:p>
        </w:tc>
        <w:tc>
          <w:tcPr>
            <w:tcW w:w="1843" w:type="dxa"/>
          </w:tcPr>
          <w:p w:rsidR="009C51CF" w:rsidRDefault="009C51CF">
            <w:r w:rsidRPr="00D900B6">
              <w:lastRenderedPageBreak/>
              <w:t>вне плана</w:t>
            </w:r>
          </w:p>
        </w:tc>
        <w:tc>
          <w:tcPr>
            <w:tcW w:w="2268" w:type="dxa"/>
          </w:tcPr>
          <w:p w:rsidR="009C51CF" w:rsidRDefault="009C51CF" w:rsidP="00866F60">
            <w:pPr>
              <w:pStyle w:val="a3"/>
              <w:ind w:firstLine="0"/>
              <w:rPr>
                <w:sz w:val="24"/>
                <w:szCs w:val="24"/>
              </w:rPr>
            </w:pPr>
            <w:r>
              <w:rPr>
                <w:sz w:val="24"/>
                <w:szCs w:val="24"/>
              </w:rPr>
              <w:t>поддержать</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lastRenderedPageBreak/>
              <w:t>5.</w:t>
            </w:r>
          </w:p>
        </w:tc>
        <w:tc>
          <w:tcPr>
            <w:tcW w:w="3206" w:type="dxa"/>
          </w:tcPr>
          <w:p w:rsidR="009C51CF" w:rsidRPr="00606F58" w:rsidRDefault="009C51CF" w:rsidP="00FC64B5">
            <w:pPr>
              <w:pStyle w:val="ConsPlusNormal"/>
              <w:widowControl w:val="0"/>
              <w:ind w:firstLine="0"/>
              <w:jc w:val="both"/>
              <w:rPr>
                <w:rFonts w:ascii="Times New Roman" w:hAnsi="Times New Roman" w:cs="Times New Roman"/>
                <w:bCs/>
                <w:sz w:val="24"/>
                <w:szCs w:val="24"/>
              </w:rPr>
            </w:pPr>
            <w:r w:rsidRPr="00606F58">
              <w:rPr>
                <w:rFonts w:ascii="Times New Roman" w:hAnsi="Times New Roman"/>
                <w:bCs/>
                <w:sz w:val="24"/>
                <w:szCs w:val="24"/>
              </w:rPr>
              <w:t>проект федерального закона «О внесении изменений в Федеральный закон «Об особо охраняемых приро</w:t>
            </w:r>
            <w:r w:rsidRPr="00606F58">
              <w:rPr>
                <w:rFonts w:ascii="Times New Roman" w:hAnsi="Times New Roman"/>
                <w:bCs/>
                <w:sz w:val="24"/>
                <w:szCs w:val="24"/>
              </w:rPr>
              <w:t>д</w:t>
            </w:r>
            <w:r w:rsidRPr="00606F58">
              <w:rPr>
                <w:rFonts w:ascii="Times New Roman" w:hAnsi="Times New Roman"/>
                <w:bCs/>
                <w:sz w:val="24"/>
                <w:szCs w:val="24"/>
              </w:rPr>
              <w:t>ных территориях»</w:t>
            </w:r>
          </w:p>
        </w:tc>
        <w:tc>
          <w:tcPr>
            <w:tcW w:w="1843" w:type="dxa"/>
          </w:tcPr>
          <w:p w:rsidR="009C51CF" w:rsidRPr="00606F58" w:rsidRDefault="009C51CF">
            <w:r w:rsidRPr="00606F58">
              <w:t>А.В. Дятлов</w:t>
            </w:r>
          </w:p>
        </w:tc>
        <w:tc>
          <w:tcPr>
            <w:tcW w:w="5528" w:type="dxa"/>
          </w:tcPr>
          <w:p w:rsidR="009C51CF" w:rsidRPr="00606F58" w:rsidRDefault="00606F58" w:rsidP="00606F58">
            <w:pPr>
              <w:autoSpaceDE w:val="0"/>
              <w:autoSpaceDN w:val="0"/>
              <w:jc w:val="both"/>
            </w:pPr>
            <w:r w:rsidRPr="00606F58">
              <w:t>Предлагается внести изменения в Федеральный закон «Об особо охраняемых природных террит</w:t>
            </w:r>
            <w:r w:rsidRPr="00606F58">
              <w:t>о</w:t>
            </w:r>
            <w:r w:rsidRPr="00606F58">
              <w:t>риях», предусмотрев плату за посещение физич</w:t>
            </w:r>
            <w:r w:rsidRPr="00606F58">
              <w:t>е</w:t>
            </w:r>
            <w:r w:rsidRPr="00606F58">
              <w:t>скими лицами особо охраняемых природных те</w:t>
            </w:r>
            <w:r w:rsidRPr="00606F58">
              <w:t>р</w:t>
            </w:r>
            <w:r w:rsidRPr="00606F58">
              <w:t>риторий регионального и местного значений в ц</w:t>
            </w:r>
            <w:r w:rsidRPr="00606F58">
              <w:t>е</w:t>
            </w:r>
            <w:r w:rsidRPr="00606F58">
              <w:t>лях познавательного туризма и отдыха, размер к</w:t>
            </w:r>
            <w:r w:rsidRPr="00606F58">
              <w:t>о</w:t>
            </w:r>
            <w:r w:rsidRPr="00606F58">
              <w:t>торой устанавливается органом исполнительной власти и органом местного самоуправления, в в</w:t>
            </w:r>
            <w:r w:rsidRPr="00606F58">
              <w:t>е</w:t>
            </w:r>
            <w:r w:rsidRPr="00606F58">
              <w:t>дении которого находится особо охраняемая пр</w:t>
            </w:r>
            <w:r w:rsidRPr="00606F58">
              <w:t>и</w:t>
            </w:r>
            <w:r w:rsidRPr="00606F58">
              <w:t xml:space="preserve">родная территория. </w:t>
            </w:r>
            <w:r w:rsidRPr="00606F58">
              <w:rPr>
                <w:bCs/>
              </w:rPr>
              <w:t>Комитет не поддерживает да</w:t>
            </w:r>
            <w:r w:rsidRPr="00606F58">
              <w:rPr>
                <w:bCs/>
              </w:rPr>
              <w:t>н</w:t>
            </w:r>
            <w:r w:rsidRPr="00606F58">
              <w:rPr>
                <w:bCs/>
              </w:rPr>
              <w:t xml:space="preserve">ный законопроект, в связи с тем, что </w:t>
            </w:r>
            <w:r w:rsidRPr="00606F58">
              <w:rPr>
                <w:color w:val="000000"/>
              </w:rPr>
              <w:t>предлагаемые законодательные изменения должны быть напра</w:t>
            </w:r>
            <w:r w:rsidRPr="00606F58">
              <w:rPr>
                <w:color w:val="000000"/>
              </w:rPr>
              <w:t>в</w:t>
            </w:r>
            <w:r w:rsidRPr="00606F58">
              <w:rPr>
                <w:color w:val="000000"/>
              </w:rPr>
              <w:t>лены не на обязанность субъектов Российской Ф</w:t>
            </w:r>
            <w:r w:rsidRPr="00606F58">
              <w:rPr>
                <w:color w:val="000000"/>
              </w:rPr>
              <w:t>е</w:t>
            </w:r>
            <w:r w:rsidRPr="00606F58">
              <w:rPr>
                <w:color w:val="000000"/>
              </w:rPr>
              <w:t>дерации взимать плату за посещение особо охр</w:t>
            </w:r>
            <w:r w:rsidRPr="00606F58">
              <w:rPr>
                <w:color w:val="000000"/>
              </w:rPr>
              <w:t>а</w:t>
            </w:r>
            <w:r w:rsidRPr="00606F58">
              <w:rPr>
                <w:color w:val="000000"/>
              </w:rPr>
              <w:t>няемых природных территорий регионального и местного значения, а на право взимания этой платы субъектами Российской Федерации.</w:t>
            </w:r>
          </w:p>
        </w:tc>
        <w:tc>
          <w:tcPr>
            <w:tcW w:w="1843" w:type="dxa"/>
          </w:tcPr>
          <w:p w:rsidR="009C51CF" w:rsidRDefault="009C51CF">
            <w:r w:rsidRPr="00D900B6">
              <w:t>вне плана</w:t>
            </w:r>
          </w:p>
        </w:tc>
        <w:tc>
          <w:tcPr>
            <w:tcW w:w="2268" w:type="dxa"/>
          </w:tcPr>
          <w:p w:rsidR="009C51CF" w:rsidRDefault="009C51CF" w:rsidP="00866F60">
            <w:pPr>
              <w:pStyle w:val="a3"/>
              <w:ind w:firstLine="0"/>
              <w:rPr>
                <w:sz w:val="24"/>
                <w:szCs w:val="24"/>
              </w:rPr>
            </w:pPr>
            <w:r>
              <w:rPr>
                <w:sz w:val="24"/>
                <w:szCs w:val="24"/>
              </w:rPr>
              <w:t>не поддерживать</w:t>
            </w:r>
          </w:p>
        </w:tc>
      </w:tr>
      <w:tr w:rsidR="009C51CF" w:rsidRPr="00DC1A12" w:rsidTr="00606F58">
        <w:tc>
          <w:tcPr>
            <w:tcW w:w="588" w:type="dxa"/>
          </w:tcPr>
          <w:p w:rsidR="009C51CF" w:rsidRPr="00606F58" w:rsidRDefault="009C51CF" w:rsidP="00A547B4">
            <w:pPr>
              <w:pStyle w:val="a3"/>
              <w:ind w:firstLine="0"/>
              <w:jc w:val="center"/>
              <w:rPr>
                <w:sz w:val="24"/>
                <w:szCs w:val="24"/>
              </w:rPr>
            </w:pPr>
            <w:r w:rsidRPr="00606F58">
              <w:rPr>
                <w:sz w:val="24"/>
                <w:szCs w:val="24"/>
              </w:rPr>
              <w:t>6.</w:t>
            </w:r>
          </w:p>
        </w:tc>
        <w:tc>
          <w:tcPr>
            <w:tcW w:w="3206" w:type="dxa"/>
          </w:tcPr>
          <w:p w:rsidR="009C51CF" w:rsidRPr="00606F58" w:rsidRDefault="009C51CF" w:rsidP="009C51CF">
            <w:pPr>
              <w:spacing w:line="240" w:lineRule="atLeast"/>
              <w:jc w:val="both"/>
              <w:rPr>
                <w:bCs/>
              </w:rPr>
            </w:pPr>
            <w:r w:rsidRPr="00606F58">
              <w:rPr>
                <w:bCs/>
              </w:rPr>
              <w:t>проект федерального закона "О внесении изменений в Федеральный закон "Об о</w:t>
            </w:r>
            <w:r w:rsidRPr="00606F58">
              <w:rPr>
                <w:bCs/>
              </w:rPr>
              <w:t>х</w:t>
            </w:r>
            <w:r w:rsidRPr="00606F58">
              <w:rPr>
                <w:bCs/>
              </w:rPr>
              <w:t>ране окружающей среды" по вопросу внесения платы за негативное воздействие на окружающую среду"</w:t>
            </w:r>
          </w:p>
        </w:tc>
        <w:tc>
          <w:tcPr>
            <w:tcW w:w="1843" w:type="dxa"/>
          </w:tcPr>
          <w:p w:rsidR="009C51CF" w:rsidRPr="00606F58" w:rsidRDefault="009C51CF">
            <w:r w:rsidRPr="00606F58">
              <w:t>А.В. Дятлов</w:t>
            </w:r>
          </w:p>
        </w:tc>
        <w:tc>
          <w:tcPr>
            <w:tcW w:w="5528" w:type="dxa"/>
          </w:tcPr>
          <w:p w:rsidR="00606F58" w:rsidRPr="00606F58" w:rsidRDefault="00606F58" w:rsidP="00606F58">
            <w:r w:rsidRPr="00606F58">
              <w:t>Проектом предусматривается возможность для лиц, обязанных вносить плату за негативное во</w:t>
            </w:r>
            <w:r w:rsidRPr="00606F58">
              <w:t>з</w:t>
            </w:r>
            <w:r w:rsidRPr="00606F58">
              <w:t>действие на окружающую среду, за исключением субъектов малого и среднего предпринимательс</w:t>
            </w:r>
            <w:r w:rsidRPr="00606F58">
              <w:t>т</w:t>
            </w:r>
            <w:r w:rsidRPr="00606F58">
              <w:t>ва, исполнить право внесения авансового платежа, рассчитав его размер одним из трех способов:</w:t>
            </w:r>
          </w:p>
          <w:p w:rsidR="00606F58" w:rsidRPr="00606F58" w:rsidRDefault="00606F58" w:rsidP="00606F58">
            <w:r w:rsidRPr="00606F58">
              <w:t>- в размере одной четвертой части суммы платы за негативное воздействие на окружающую среду, подлежащей к уплате (с учетом корректировки ее размера) за предыдущий год;</w:t>
            </w:r>
          </w:p>
          <w:p w:rsidR="00606F58" w:rsidRPr="00606F58" w:rsidRDefault="00606F58" w:rsidP="00606F58">
            <w:proofErr w:type="gramStart"/>
            <w:r w:rsidRPr="00606F58">
              <w:t>- в размере одной четвертой части суммы платы за негативное воздействие на окружающую среду, при исчислении которой платежная база определ</w:t>
            </w:r>
            <w:r w:rsidRPr="00606F58">
              <w:t>е</w:t>
            </w:r>
            <w:r w:rsidRPr="00606F58">
              <w:t>на исходя из объема и (или) массы выбросов з</w:t>
            </w:r>
            <w:r w:rsidRPr="00606F58">
              <w:t>а</w:t>
            </w:r>
            <w:r w:rsidRPr="00606F58">
              <w:t>грязняющих веществ, сбросов загрязняющих в</w:t>
            </w:r>
            <w:r w:rsidRPr="00606F58">
              <w:t>е</w:t>
            </w:r>
            <w:r w:rsidRPr="00606F58">
              <w:t>ществ в пределах нормативов допустимых выбр</w:t>
            </w:r>
            <w:r w:rsidRPr="00606F58">
              <w:t>о</w:t>
            </w:r>
            <w:r w:rsidRPr="00606F58">
              <w:lastRenderedPageBreak/>
              <w:t>сов, нормативов допустимых сбросов, временно разрешенных выбросов, временно разрешенных сбросов, лимитов на размещение отходов прои</w:t>
            </w:r>
            <w:r w:rsidRPr="00606F58">
              <w:t>з</w:t>
            </w:r>
            <w:r w:rsidRPr="00606F58">
              <w:t>водства и потребления;</w:t>
            </w:r>
            <w:proofErr w:type="gramEnd"/>
          </w:p>
          <w:p w:rsidR="00606F58" w:rsidRPr="00606F58" w:rsidRDefault="00606F58" w:rsidP="00606F58">
            <w:r w:rsidRPr="00606F58">
              <w:t>- в размере, равном части суммы платы за негати</w:t>
            </w:r>
            <w:r w:rsidRPr="00606F58">
              <w:t>в</w:t>
            </w:r>
            <w:r w:rsidRPr="00606F58">
              <w:t>ное воздействие на окружающую среду, при и</w:t>
            </w:r>
            <w:r w:rsidRPr="00606F58">
              <w:t>с</w:t>
            </w:r>
            <w:r w:rsidRPr="00606F58">
              <w:t>числении которой платежная база определена на основе данных производственного экологического контроля об объеме или массе выбросов загря</w:t>
            </w:r>
            <w:r w:rsidRPr="00606F58">
              <w:t>з</w:t>
            </w:r>
            <w:r w:rsidRPr="00606F58">
              <w:t>няющих веществ, сбросов загрязняющих веществ либо объеме или массе размещенных отходов пр</w:t>
            </w:r>
            <w:r w:rsidRPr="00606F58">
              <w:t>о</w:t>
            </w:r>
            <w:r w:rsidRPr="00606F58">
              <w:t>изводства и потребления в предыдущем квартале текущего отчетного периода.</w:t>
            </w:r>
          </w:p>
          <w:p w:rsidR="009C51CF" w:rsidRPr="00606F58" w:rsidRDefault="00606F58" w:rsidP="00606F58">
            <w:r w:rsidRPr="00606F58">
              <w:t>Выбор способа определения размера квартального авансового платежа за негативное воздействие на окружающую среду лицами, обязанными вносить плату, осуществляется самостоятельно для кажд</w:t>
            </w:r>
            <w:r w:rsidRPr="00606F58">
              <w:t>о</w:t>
            </w:r>
            <w:r w:rsidRPr="00606F58">
              <w:t>го вида негативного воздействия на окружающую среду, за которое взимается плата.</w:t>
            </w:r>
          </w:p>
        </w:tc>
        <w:tc>
          <w:tcPr>
            <w:tcW w:w="1843" w:type="dxa"/>
          </w:tcPr>
          <w:p w:rsidR="009C51CF" w:rsidRDefault="009C51CF">
            <w:r w:rsidRPr="00D900B6">
              <w:lastRenderedPageBreak/>
              <w:t>вне плана</w:t>
            </w:r>
          </w:p>
        </w:tc>
        <w:tc>
          <w:tcPr>
            <w:tcW w:w="2268" w:type="dxa"/>
          </w:tcPr>
          <w:p w:rsidR="009C51CF" w:rsidRDefault="009C51CF" w:rsidP="00866F60">
            <w:pPr>
              <w:pStyle w:val="a3"/>
              <w:ind w:firstLine="0"/>
              <w:rPr>
                <w:sz w:val="24"/>
                <w:szCs w:val="24"/>
              </w:rPr>
            </w:pPr>
            <w:r>
              <w:rPr>
                <w:sz w:val="24"/>
                <w:szCs w:val="24"/>
              </w:rPr>
              <w:t>не поддерживать</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1C" w:rsidRDefault="00B5201C">
      <w:r>
        <w:separator/>
      </w:r>
    </w:p>
  </w:endnote>
  <w:endnote w:type="continuationSeparator" w:id="0">
    <w:p w:rsidR="00B5201C" w:rsidRDefault="00B52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1C" w:rsidRDefault="00B5201C">
      <w:r>
        <w:separator/>
      </w:r>
    </w:p>
  </w:footnote>
  <w:footnote w:type="continuationSeparator" w:id="0">
    <w:p w:rsidR="00B5201C" w:rsidRDefault="00B52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F05B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F05B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175C7">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05B6"/>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1DBA"/>
    <w:rsid w:val="00A26FAA"/>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175C7"/>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838</Words>
  <Characters>6026</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49</cp:revision>
  <cp:lastPrinted>2014-01-23T06:53:00Z</cp:lastPrinted>
  <dcterms:created xsi:type="dcterms:W3CDTF">2017-09-26T07:18:00Z</dcterms:created>
  <dcterms:modified xsi:type="dcterms:W3CDTF">2019-03-25T09:55:00Z</dcterms:modified>
</cp:coreProperties>
</file>