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F6C6B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="00502F30">
        <w:rPr>
          <w:b/>
          <w:sz w:val="24"/>
          <w:szCs w:val="24"/>
        </w:rPr>
        <w:t>мая</w:t>
      </w:r>
      <w:r w:rsidR="00CB2EF0">
        <w:rPr>
          <w:b/>
          <w:sz w:val="24"/>
          <w:szCs w:val="24"/>
        </w:rPr>
        <w:t xml:space="preserve"> 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425E3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30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30">
              <w:rPr>
                <w:rFonts w:ascii="Times New Roman" w:hAnsi="Times New Roman" w:cs="Times New Roman"/>
                <w:bCs/>
                <w:sz w:val="24"/>
                <w:szCs w:val="24"/>
              </w:rPr>
              <w:t>О поддержке</w:t>
            </w:r>
            <w:r w:rsidRPr="00502F3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Думы Астраханской области к Правительству Российской Федерации, Государственной Думе Федерального Собрания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осуществления весогабаритного контроля транспортных средств</w:t>
            </w:r>
          </w:p>
          <w:p w:rsidR="00985866" w:rsidRPr="00502F30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502F30" w:rsidRDefault="00502F3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02F30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30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обращении предлагается рассмотреть возможность внесения изменения в статью 12.21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Кодекса Россий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Федерации об административных правонарушениях, предполагающего непри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менение административных наказаний, в случае если превышение норм нагрузки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ось находится в пределах 10 процентов, при условии, что общая масса транспортного средства с грузом не превышала допустимую норму транспортного средства.</w:t>
            </w:r>
            <w:proofErr w:type="gramEnd"/>
          </w:p>
          <w:p w:rsidR="00502F30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ind w:right="2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эксплуатации пунктов автоматического весогабаритного контроля показывает, что отсутствие воз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можности контрольного взвешивания, низкий уровень допустимой погрешности, зависимость весовых показателей от скоростного режима и, как следствие, неверное определение осевых нагрузок при перевозке жидких грузов, сыпучих, порошкооб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разных, пылевидных строительных материалов, бетона и асфальта, меняющих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ложение при торможении, приводит к привлечению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административной ответ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ственности собственников автотранспортных средств.</w:t>
            </w:r>
            <w:proofErr w:type="gramEnd"/>
          </w:p>
          <w:p w:rsid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ind w:right="20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того, в настоящее время автомобильный парк пожарной, аварийно- спасательной и инженерной техники подразделений пожарной 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аварийно-спасательных формирований МЧС России состоит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транспортных средств, среди которых имеются тяжеловесные и (или) крупногабаритные средства, в том числе в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аряженном состоянии. </w:t>
            </w:r>
          </w:p>
          <w:p w:rsidR="00502F30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ind w:right="2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специального разрешения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приказом Министерства транспорта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от 5 июня 2019 года № 167 «Об утверждении Порядка выдачи специального разрешения на движение по авто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мобильным дорогам тяжеловесного и (или) крупногабаритного транспортного сред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ства»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кратчайшие сроки при соблюдении всех административных действий в условиях чрезвычайной ситуации не представляется возможным.</w:t>
            </w:r>
          </w:p>
          <w:p w:rsidR="00985866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ind w:right="2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вышеуказанного предлагается рассмотреть возможность внесения изменения в статью 31 Федерального закона от 8 ноября 2007 года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257-ФЗ «Об автомобильных дорогах </w:t>
            </w:r>
            <w:proofErr w:type="gramStart"/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дорожной дея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в Российской Федерации и о внесении изменений в отдельные законода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акты Российской Федерации», предусматривающего право движения по ав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томобильным дорогам транспортных средств, оборудованных устройствами для по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дачи специальных световых и звуковых сигналов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используемых для осуществле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деятельности пожарной охраны и аварийно-спасательных служб, а также транс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портных средств, осуществляющих перевозки имущества, необходимого для прове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аварийно-спасательных работ, без специальных разрешений.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502F30" w:rsidRDefault="00502F3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02F30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30" w:rsidRP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30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предлагает депутатам областного Собрания поддержать обращение </w:t>
            </w:r>
            <w:r w:rsidRP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Думы Астраханской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sz w:val="24"/>
                <w:szCs w:val="24"/>
              </w:rPr>
              <w:t xml:space="preserve">на семнадцатой сессии областного Собрания </w:t>
            </w:r>
            <w:r w:rsidRPr="00502F30">
              <w:rPr>
                <w:rFonts w:ascii="Times New Roman" w:hAnsi="Times New Roman" w:cs="Times New Roman"/>
                <w:sz w:val="24"/>
                <w:szCs w:val="24"/>
              </w:rPr>
              <w:br/>
              <w:t>(27-28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F30">
              <w:rPr>
                <w:rFonts w:ascii="Times New Roman" w:hAnsi="Times New Roman" w:cs="Times New Roman"/>
                <w:sz w:val="24"/>
                <w:szCs w:val="24"/>
              </w:rPr>
              <w:t xml:space="preserve"> 2020 года).</w:t>
            </w:r>
          </w:p>
          <w:p w:rsidR="00985866" w:rsidRPr="00502F30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425E3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A5" w:rsidRPr="00EA29A5" w:rsidRDefault="00EA29A5" w:rsidP="00EA29A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поддержке</w:t>
            </w: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инициативы </w:t>
            </w:r>
          </w:p>
          <w:p w:rsidR="00EA29A5" w:rsidRDefault="00EA29A5" w:rsidP="00EA29A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  <w:proofErr w:type="gramStart"/>
            <w:r w:rsidRPr="00EA29A5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EA29A5" w:rsidRPr="00EA29A5" w:rsidRDefault="00EA29A5" w:rsidP="00EA29A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</w:t>
            </w:r>
          </w:p>
          <w:p w:rsidR="00EA29A5" w:rsidRDefault="00EA29A5" w:rsidP="00EA29A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Государственную Думу Федерального Собрания Российской Федерации проекта федерального закона «О внесении изменений в статью 38 Федерального закона «Об объектах культурного наследия (памятниках истории и культуры) народов Российской </w:t>
            </w:r>
            <w:r w:rsidRPr="00EA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и статью 30 Федеральною закона </w:t>
            </w:r>
          </w:p>
          <w:p w:rsidR="00985866" w:rsidRPr="00EA29A5" w:rsidRDefault="00EA29A5" w:rsidP="00EA29A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«Об автомобильных дорогах </w:t>
            </w:r>
            <w:proofErr w:type="gramStart"/>
            <w:r w:rsidRPr="00EA2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и о внесении изменений</w:t>
            </w: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законодательные акты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425E3" w:rsidRDefault="00EA29A5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lastRenderedPageBreak/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A5" w:rsidRPr="00EA29A5" w:rsidRDefault="00EA29A5" w:rsidP="00502F30">
            <w:pPr>
              <w:pStyle w:val="11"/>
              <w:shd w:val="clear" w:color="auto" w:fill="auto"/>
              <w:spacing w:before="0" w:after="0" w:line="240" w:lineRule="auto"/>
              <w:ind w:right="4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Предлагаемый законопроект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дифференцированный подход к определению порядка осуществления временных ограничения </w:t>
            </w:r>
            <w:r w:rsidRPr="00EA29A5">
              <w:rPr>
                <w:rStyle w:val="12pt0pt"/>
                <w:rFonts w:ascii="Times New Roman" w:hAnsi="Times New Roman" w:cs="Times New Roman"/>
                <w:b w:val="0"/>
              </w:rPr>
              <w:t xml:space="preserve">или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прекращения движения транспортных сре</w:t>
            </w:r>
            <w:proofErr w:type="gramStart"/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з</w:t>
            </w:r>
            <w:proofErr w:type="gramEnd"/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ависимости от принадлежности территории или зоны охраны объекта культурного наследия к автомобильной дороге.</w:t>
            </w:r>
          </w:p>
          <w:p w:rsidR="00EA29A5" w:rsidRPr="00EA29A5" w:rsidRDefault="00EA29A5" w:rsidP="00502F30">
            <w:pPr>
              <w:pStyle w:val="11"/>
              <w:shd w:val="clear" w:color="auto" w:fill="auto"/>
              <w:spacing w:before="0" w:after="0" w:line="240" w:lineRule="auto"/>
              <w:ind w:right="4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случаях, если проезд транспортного средства через земельный участок, обремененный сервитутом, публичным сервитутом, осуществляется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объекта культурного наследия или его зоны охраны при отсутствии автомобильной дорога, предлагается отнести установление порядка осуществления временных ограничения или прекращения движения транспортных средств к компетенции соответствующих органов охраны объектов культурного наследия в зависимости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категории объекта, расположенного на этой территории.</w:t>
            </w:r>
            <w:proofErr w:type="gramEnd"/>
          </w:p>
          <w:p w:rsidR="00EA29A5" w:rsidRPr="00EA29A5" w:rsidRDefault="00EA29A5" w:rsidP="00502F30">
            <w:pPr>
              <w:pStyle w:val="11"/>
              <w:shd w:val="clear" w:color="auto" w:fill="auto"/>
              <w:spacing w:before="0" w:after="0" w:line="240" w:lineRule="auto"/>
              <w:ind w:right="4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Соответственно, в случаях движения транспортных средств по автомобильным дорогам на территориях объектов культурного наследия или в его зонах охраны законопроектом предусмотрен приоритет норм законодательства об автомобильных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рогах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дорожной деятельности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законодательства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безопасности дорожного движения, поскольку именно этим законодательством регулируются отношения, возникающие в связи с использованием дорог, предназначенных для движения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портных средств,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обеспечением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такого движения. Установление в законопроекте отсылочной нормы позволит применять положения Федерального закона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257-ФЗ по рассматриваемому вопросу и осуществлять ограничение или прекращение движения транспортных средств на указанных территориях в порядке, установленном соответствующим государственным органом, в зависимости от значения автомобильной дороги.</w:t>
            </w:r>
          </w:p>
          <w:p w:rsidR="00EA29A5" w:rsidRPr="00EA29A5" w:rsidRDefault="00EA29A5" w:rsidP="00502F30">
            <w:pPr>
              <w:pStyle w:val="11"/>
              <w:shd w:val="clear" w:color="auto" w:fill="auto"/>
              <w:spacing w:before="0" w:after="0" w:line="240" w:lineRule="auto"/>
              <w:ind w:right="4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Предлагаемое законопроектом изменение в большей степени затрагивает объекты культурного наследия, на территориях (в зонах охраны) которых находятся автомобильные дороги федерального значения и частные автомобильные дороги, поскольку порядок осуществления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временных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ограничения или прекращения движения транспортных средств по автомобильным дорогам регионального или межмуниципального, местного значения, как и прежде, остается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уровне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5866" w:rsidRPr="00EA29A5" w:rsidRDefault="00EA29A5" w:rsidP="00502F30">
            <w:pPr>
              <w:pStyle w:val="11"/>
              <w:shd w:val="clear" w:color="auto" w:fill="auto"/>
              <w:tabs>
                <w:tab w:val="center" w:pos="7562"/>
                <w:tab w:val="right" w:pos="9641"/>
              </w:tabs>
              <w:spacing w:before="0" w:after="0" w:line="240" w:lineRule="auto"/>
              <w:ind w:right="40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силу особой специфики принятия решении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введении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временных ограничения или прекращения движения транспортных средств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 территориях объектов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культурного наследия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зонах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их охраны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законопроектом также предусмотрено участие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органов охраны объектов культурного наследия в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 решений о введении запретов и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ограничений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транспортных средств по автомобильным дорогам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обозначенных</w:t>
            </w: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территориях, в частности путем </w:t>
            </w:r>
            <w:r w:rsidR="0050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29A5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A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согласования.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EA29A5" w:rsidRDefault="00502F3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9A5"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депутатам областного Собрания поддержать законодательную инициативу Законодательного собрания </w:t>
            </w:r>
            <w:proofErr w:type="gramStart"/>
            <w:r w:rsidR="00EA29A5" w:rsidRPr="00EA29A5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="00EA29A5"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02F30" w:rsidRDefault="00EA29A5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5">
              <w:rPr>
                <w:rFonts w:ascii="Times New Roman" w:hAnsi="Times New Roman" w:cs="Times New Roman"/>
                <w:sz w:val="24"/>
                <w:szCs w:val="24"/>
              </w:rPr>
              <w:t xml:space="preserve"> на семнадцатой сессии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Собрания</w:t>
            </w:r>
          </w:p>
          <w:p w:rsidR="00502F30" w:rsidRDefault="00502F30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(27-28 мая</w:t>
            </w:r>
            <w:proofErr w:type="gramEnd"/>
          </w:p>
          <w:p w:rsidR="00985866" w:rsidRPr="00EA29A5" w:rsidRDefault="00502F30" w:rsidP="00502F3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9A5" w:rsidRPr="00EA29A5">
              <w:rPr>
                <w:rFonts w:ascii="Times New Roman" w:hAnsi="Times New Roman" w:cs="Times New Roman"/>
                <w:sz w:val="24"/>
                <w:szCs w:val="24"/>
              </w:rPr>
              <w:t>2020 года).</w:t>
            </w:r>
            <w:proofErr w:type="gramEnd"/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0D7F40" w:rsidRDefault="000D7F40" w:rsidP="00985866">
            <w:pPr>
              <w:pStyle w:val="a8"/>
              <w:tabs>
                <w:tab w:val="left" w:pos="0"/>
                <w:tab w:val="left" w:pos="993"/>
              </w:tabs>
              <w:ind w:left="0"/>
              <w:jc w:val="center"/>
            </w:pPr>
            <w:r>
              <w:t>Рассмотрение ходатайств</w:t>
            </w:r>
            <w:r w:rsidR="00985866" w:rsidRPr="000D7F40">
              <w:t xml:space="preserve"> </w:t>
            </w:r>
            <w:r w:rsidR="00985866" w:rsidRPr="000D7F40">
              <w:rPr>
                <w:bCs/>
              </w:rPr>
              <w:t xml:space="preserve">генерального директора </w:t>
            </w:r>
            <w:r w:rsidR="00985866" w:rsidRPr="000D7F40">
              <w:rPr>
                <w:color w:val="000000"/>
              </w:rPr>
              <w:t>акционерного общества</w:t>
            </w:r>
            <w:r w:rsidR="00985866" w:rsidRPr="000D7F40">
              <w:t xml:space="preserve"> «Северный Рейд» </w:t>
            </w:r>
          </w:p>
          <w:p w:rsidR="00985866" w:rsidRPr="000D7F40" w:rsidRDefault="00985866" w:rsidP="00985866">
            <w:pPr>
              <w:pStyle w:val="a8"/>
              <w:tabs>
                <w:tab w:val="left" w:pos="0"/>
                <w:tab w:val="left" w:pos="993"/>
              </w:tabs>
              <w:ind w:left="0"/>
              <w:jc w:val="center"/>
            </w:pPr>
            <w:proofErr w:type="spellStart"/>
            <w:r w:rsidRPr="000D7F40">
              <w:t>Лычевой</w:t>
            </w:r>
            <w:proofErr w:type="spellEnd"/>
            <w:r w:rsidRPr="000D7F40">
              <w:t xml:space="preserve"> И.Е.</w:t>
            </w:r>
          </w:p>
          <w:p w:rsidR="000D7F40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</w:t>
            </w:r>
          </w:p>
          <w:p w:rsidR="00985866" w:rsidRPr="000D7F40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и о награждении Почетной грамотой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0D7F40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0D7F40" w:rsidRDefault="00985866" w:rsidP="00985866">
            <w:pPr>
              <w:pStyle w:val="a3"/>
              <w:tabs>
                <w:tab w:val="left" w:pos="709"/>
              </w:tabs>
              <w:ind w:firstLine="317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В адрес комитета по промышленности, коммуник</w:t>
            </w:r>
            <w:r w:rsidR="000D7F40">
              <w:rPr>
                <w:sz w:val="24"/>
                <w:szCs w:val="24"/>
              </w:rPr>
              <w:t>ациям и инфраструктуре поступили</w:t>
            </w:r>
            <w:r w:rsidR="000D7F40">
              <w:rPr>
                <w:bCs/>
                <w:sz w:val="24"/>
                <w:szCs w:val="24"/>
              </w:rPr>
              <w:t xml:space="preserve"> ходатайства</w:t>
            </w:r>
            <w:r w:rsidRPr="000D7F40">
              <w:rPr>
                <w:bCs/>
                <w:sz w:val="24"/>
                <w:szCs w:val="24"/>
              </w:rPr>
              <w:t xml:space="preserve"> генерального директора</w:t>
            </w:r>
            <w:r w:rsidRPr="000D7F40">
              <w:rPr>
                <w:sz w:val="24"/>
                <w:szCs w:val="24"/>
              </w:rPr>
              <w:t xml:space="preserve"> акционерного общества «Северный Рейд» </w:t>
            </w:r>
            <w:proofErr w:type="spellStart"/>
            <w:r w:rsidRPr="000D7F40">
              <w:rPr>
                <w:sz w:val="24"/>
                <w:szCs w:val="24"/>
              </w:rPr>
              <w:t>Лычевой</w:t>
            </w:r>
            <w:proofErr w:type="spellEnd"/>
            <w:r w:rsidRPr="000D7F40">
              <w:rPr>
                <w:sz w:val="24"/>
                <w:szCs w:val="24"/>
              </w:rPr>
              <w:t xml:space="preserve"> И.Е.:</w:t>
            </w:r>
          </w:p>
          <w:p w:rsidR="00985866" w:rsidRPr="000D7F40" w:rsidRDefault="00985866" w:rsidP="00985866">
            <w:pPr>
              <w:pStyle w:val="a3"/>
              <w:tabs>
                <w:tab w:val="left" w:pos="709"/>
              </w:tabs>
              <w:ind w:firstLine="317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1) об объявлении Благодарности Архангельского областного Собрания депутатов Бабанову Олегу Евгеньевичу, главному специалисту отдела главного конструктора акционерного общества «Северный Рейд»;</w:t>
            </w:r>
          </w:p>
          <w:p w:rsidR="00985866" w:rsidRPr="00502F30" w:rsidRDefault="00985866" w:rsidP="00502F30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2) о награждении Почетной грамотой Архангельского областного Собрания депутатов Сумароковой Марины Михайловны, главного специалиста – начальника бюро отдела материально-технического снабжения акционерного общества «Северный Рейд».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0D7F40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0D7F40" w:rsidRDefault="000D7F40" w:rsidP="0098586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поддерживает ходатайства</w:t>
            </w:r>
            <w:r w:rsidR="00985866" w:rsidRPr="000D7F40">
              <w:rPr>
                <w:sz w:val="24"/>
                <w:szCs w:val="24"/>
              </w:rPr>
              <w:t xml:space="preserve"> </w:t>
            </w:r>
          </w:p>
          <w:p w:rsidR="00985866" w:rsidRPr="000D7F40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о награждении</w:t>
            </w:r>
          </w:p>
        </w:tc>
      </w:tr>
      <w:tr w:rsidR="000D7F40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0" w:rsidRDefault="000D7F4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0" w:rsidRDefault="000D7F40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 xml:space="preserve">Рассмотрение ходатайства </w:t>
            </w:r>
            <w:r w:rsidRPr="000D7F40">
              <w:rPr>
                <w:bCs/>
                <w:sz w:val="24"/>
                <w:szCs w:val="24"/>
              </w:rPr>
              <w:t xml:space="preserve">исполнительного директора </w:t>
            </w:r>
            <w:r w:rsidRPr="000D7F40">
              <w:rPr>
                <w:sz w:val="24"/>
                <w:szCs w:val="24"/>
              </w:rPr>
              <w:t xml:space="preserve">ОАО «Котласский химический завод» Кочеткова В.Л. </w:t>
            </w:r>
          </w:p>
          <w:p w:rsidR="000D7F40" w:rsidRPr="000D7F40" w:rsidRDefault="000D7F40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0" w:rsidRPr="000D7F40" w:rsidRDefault="000D7F40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0" w:rsidRPr="000D7F40" w:rsidRDefault="000D7F40" w:rsidP="000D7F4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0D7F40">
              <w:t>В адрес комитета по промышленности, коммуникациям и инфраструктуре поступило</w:t>
            </w:r>
            <w:r w:rsidRPr="000D7F40">
              <w:rPr>
                <w:bCs/>
              </w:rPr>
              <w:t xml:space="preserve"> ходатайство исполнительного директора </w:t>
            </w:r>
            <w:r w:rsidRPr="000D7F40">
              <w:t>ОАО «Котласский химический завод» Кочеткова В.Л. по награждению Почетной грамотой Архангельского областного Собрания депутатов Пивоваровой Светланы Борисовны, заведующей производством столовой торгово-хозяйственного участка ОАО «Котласский химический завод», за эффективный и многолетний труд, личные успехи и социально-значимые достижения в химической отрасли Архангельской области.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0" w:rsidRPr="000D7F40" w:rsidRDefault="000D7F40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0" w:rsidRPr="000D7F40" w:rsidRDefault="000D7F40" w:rsidP="003A744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 xml:space="preserve">Комитет поддерживает ходатайство </w:t>
            </w:r>
          </w:p>
          <w:p w:rsidR="000D7F40" w:rsidRPr="000D7F40" w:rsidRDefault="000D7F40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о награждении</w:t>
            </w:r>
          </w:p>
        </w:tc>
      </w:tr>
      <w:tr w:rsidR="00915AB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B3" w:rsidRDefault="00915AB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B3" w:rsidRDefault="00915AB3" w:rsidP="00915AB3">
            <w:pPr>
              <w:jc w:val="center"/>
            </w:pPr>
            <w:r w:rsidRPr="00915AB3">
              <w:t xml:space="preserve">О рассмотрении проекта федерального закона № 889303-7 </w:t>
            </w:r>
            <w:r>
              <w:t xml:space="preserve"> </w:t>
            </w:r>
            <w:r w:rsidRPr="00915AB3">
              <w:t>«О внесении изменений в Кодекс торгового мореплавания Российской Федерации»</w:t>
            </w:r>
          </w:p>
          <w:p w:rsidR="00915AB3" w:rsidRPr="000D7F40" w:rsidRDefault="00915AB3" w:rsidP="00915AB3">
            <w:pPr>
              <w:jc w:val="center"/>
            </w:pPr>
            <w:r w:rsidRPr="00915AB3">
              <w:t xml:space="preserve">(о создании единой государственной лоцманской службы) </w:t>
            </w:r>
            <w:r w:rsidRPr="00915AB3">
              <w:br/>
              <w:t xml:space="preserve">и обращения председателя правления Некоммерческого партнерства «Национальное объединение лоцманских организаций»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B3" w:rsidRPr="000D7F40" w:rsidRDefault="00915AB3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B3" w:rsidRPr="00915AB3" w:rsidRDefault="00915AB3" w:rsidP="00915AB3">
            <w:pPr>
              <w:ind w:firstLine="317"/>
              <w:jc w:val="both"/>
              <w:rPr>
                <w:lang w:bidi="ru-RU"/>
              </w:rPr>
            </w:pPr>
            <w:r w:rsidRPr="00915AB3">
              <w:rPr>
                <w:lang w:bidi="ru-RU"/>
              </w:rPr>
              <w:t>Проектом федерального закона</w:t>
            </w:r>
            <w:r>
              <w:rPr>
                <w:lang w:bidi="ru-RU"/>
              </w:rPr>
              <w:t xml:space="preserve"> предлагается  привести</w:t>
            </w:r>
            <w:r w:rsidRPr="00915AB3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законодательство</w:t>
            </w:r>
            <w:r w:rsidRPr="00915AB3">
              <w:rPr>
                <w:lang w:bidi="ru-RU"/>
              </w:rPr>
              <w:t xml:space="preserve"> Российской Федерации в области  мореплавания </w:t>
            </w:r>
            <w:r>
              <w:rPr>
                <w:lang w:bidi="ru-RU"/>
              </w:rPr>
              <w:t xml:space="preserve"> </w:t>
            </w:r>
            <w:r w:rsidRPr="00915AB3">
              <w:rPr>
                <w:lang w:bidi="ru-RU"/>
              </w:rPr>
              <w:t xml:space="preserve">в соответствие </w:t>
            </w:r>
            <w:r>
              <w:rPr>
                <w:lang w:bidi="ru-RU"/>
              </w:rPr>
              <w:t xml:space="preserve">с </w:t>
            </w:r>
            <w:r w:rsidRPr="00915AB3">
              <w:rPr>
                <w:lang w:bidi="ru-RU"/>
              </w:rPr>
              <w:t>Резолюцией А.159 (ES.IV) Международной Морской Организации (ИМО), которая возлагает обязанность по организация лоцманской проводки судов в опасных для судоходства районах на органы государственной власти. В настоящее время</w:t>
            </w:r>
            <w:r>
              <w:rPr>
                <w:lang w:bidi="ru-RU"/>
              </w:rPr>
              <w:t xml:space="preserve"> </w:t>
            </w:r>
            <w:r w:rsidRPr="00915AB3">
              <w:rPr>
                <w:lang w:bidi="ru-RU"/>
              </w:rPr>
              <w:t xml:space="preserve">это международное обязательство не отражено </w:t>
            </w:r>
            <w:r>
              <w:rPr>
                <w:lang w:bidi="ru-RU"/>
              </w:rPr>
              <w:br/>
            </w:r>
            <w:r w:rsidRPr="00915AB3">
              <w:rPr>
                <w:lang w:bidi="ru-RU"/>
              </w:rPr>
              <w:t>в национальном законодательстве, что не позволяет организовать эффективную систему лоцманского обслуживания во всех морских портах и обеспечить</w:t>
            </w:r>
            <w:r>
              <w:rPr>
                <w:lang w:bidi="ru-RU"/>
              </w:rPr>
              <w:br/>
            </w:r>
            <w:r w:rsidRPr="00915AB3">
              <w:rPr>
                <w:lang w:bidi="ru-RU"/>
              </w:rPr>
              <w:t xml:space="preserve"> её государственный надзор и контроль.</w:t>
            </w:r>
          </w:p>
          <w:p w:rsidR="00915AB3" w:rsidRPr="00915AB3" w:rsidRDefault="00915AB3" w:rsidP="00915AB3">
            <w:pPr>
              <w:ind w:firstLine="317"/>
              <w:jc w:val="both"/>
              <w:rPr>
                <w:lang w:bidi="ru-RU"/>
              </w:rPr>
            </w:pPr>
            <w:r w:rsidRPr="00915AB3">
              <w:rPr>
                <w:lang w:bidi="ru-RU"/>
              </w:rPr>
              <w:t xml:space="preserve">Появление в сфере обеспечения лоцманских проводок частных лоцманских компаний фактически </w:t>
            </w:r>
            <w:proofErr w:type="gramStart"/>
            <w:r w:rsidRPr="00915AB3">
              <w:rPr>
                <w:lang w:bidi="ru-RU"/>
              </w:rPr>
              <w:t>разбалансировало и затормозило</w:t>
            </w:r>
            <w:proofErr w:type="gramEnd"/>
            <w:r w:rsidRPr="00915AB3">
              <w:rPr>
                <w:lang w:bidi="ru-RU"/>
              </w:rPr>
              <w:t xml:space="preserve"> развитие всей системы </w:t>
            </w:r>
            <w:r w:rsidRPr="00915AB3">
              <w:rPr>
                <w:lang w:bidi="ru-RU"/>
              </w:rPr>
              <w:lastRenderedPageBreak/>
              <w:t>лоцманского обеспечения в стране, вывело её из-под государственного контроля и, тем самым, нарушило международные обязательства России в сфере обеспечения безопасности мореплавания в своих портах.</w:t>
            </w:r>
          </w:p>
          <w:p w:rsidR="00915AB3" w:rsidRPr="000D7F40" w:rsidRDefault="00915AB3" w:rsidP="00915AB3">
            <w:pPr>
              <w:ind w:firstLine="317"/>
              <w:jc w:val="both"/>
              <w:rPr>
                <w:lang w:bidi="ru-RU"/>
              </w:rPr>
            </w:pPr>
            <w:r w:rsidRPr="00915AB3">
              <w:rPr>
                <w:lang w:bidi="ru-RU"/>
              </w:rPr>
              <w:t xml:space="preserve">Единая государственная лоцманская служба позволит обеспечить необходимый  уровень безопасности мореплавания во всех морских портах России,  унифицирует вопросы профессиональной подготовки </w:t>
            </w:r>
            <w:r>
              <w:rPr>
                <w:lang w:bidi="ru-RU"/>
              </w:rPr>
              <w:br/>
            </w:r>
            <w:r w:rsidRPr="00915AB3">
              <w:rPr>
                <w:lang w:bidi="ru-RU"/>
              </w:rPr>
              <w:t>и контроля за квалификацией морских лоцманов.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B3" w:rsidRPr="000D7F40" w:rsidRDefault="00915AB3" w:rsidP="003A74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B3" w:rsidRPr="000D7F40" w:rsidRDefault="00915AB3" w:rsidP="003A744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информацию к сведению. </w:t>
            </w:r>
          </w:p>
        </w:tc>
      </w:tr>
      <w:tr w:rsidR="008E1B7E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7E" w:rsidRDefault="008E1B7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7E" w:rsidRDefault="008E1B7E" w:rsidP="008E1B7E">
            <w:pPr>
              <w:jc w:val="center"/>
            </w:pPr>
            <w:r>
              <w:rPr>
                <w:rStyle w:val="pre"/>
              </w:rPr>
              <w:t>О предложениях о целесообразности отчетов о деятельности, необходимость рассмотрения которых на сессиях областного Собрания закреплена в нормативных правовых актах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7E" w:rsidRDefault="008E1B7E" w:rsidP="008E1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7E" w:rsidRDefault="008E1B7E" w:rsidP="008E1B7E">
            <w:pPr>
              <w:ind w:firstLine="317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Комитет предлагает проработать вопрос об изменении формы проведения предлагаемых отчетов, в том числе 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t xml:space="preserve">путем перенесения их рассмотрения </w:t>
            </w:r>
            <w:r>
              <w:rPr>
                <w:lang w:bidi="ru-RU"/>
              </w:rPr>
              <w:t>(</w:t>
            </w:r>
            <w:r>
              <w:rPr>
                <w:lang w:bidi="ru-RU"/>
              </w:rPr>
              <w:t>в случае возможности</w:t>
            </w:r>
            <w:r>
              <w:rPr>
                <w:lang w:bidi="ru-RU"/>
              </w:rPr>
              <w:t>)</w:t>
            </w:r>
            <w:r>
              <w:rPr>
                <w:lang w:bidi="ru-RU"/>
              </w:rPr>
              <w:t xml:space="preserve"> в формат парламентских мероприятий – круглых столов, депутатских слушаний, расширенных заседаний комитетов. Это позволит вовлечь в обсуждение не только депутатский корпус, но и заинтересованных представителей общественности, предприятий, учреждений и организаций.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7E" w:rsidRDefault="008E1B7E" w:rsidP="008E1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7E" w:rsidRDefault="008E1B7E" w:rsidP="003A744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5866" w:rsidRDefault="00985866" w:rsidP="00221609">
      <w:pPr>
        <w:jc w:val="both"/>
        <w:rPr>
          <w:sz w:val="22"/>
          <w:szCs w:val="22"/>
        </w:rPr>
      </w:pPr>
    </w:p>
    <w:p w:rsidR="008E1B7E" w:rsidRPr="00221609" w:rsidRDefault="008E1B7E" w:rsidP="00221609">
      <w:pPr>
        <w:jc w:val="both"/>
        <w:rPr>
          <w:sz w:val="22"/>
          <w:szCs w:val="22"/>
        </w:rPr>
      </w:pPr>
    </w:p>
    <w:sectPr w:rsidR="008E1B7E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90"/>
    <w:multiLevelType w:val="hybridMultilevel"/>
    <w:tmpl w:val="9BB6376A"/>
    <w:lvl w:ilvl="0" w:tplc="661465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7D2"/>
    <w:multiLevelType w:val="hybridMultilevel"/>
    <w:tmpl w:val="EB9A1276"/>
    <w:lvl w:ilvl="0" w:tplc="4D32E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E00C5E"/>
    <w:multiLevelType w:val="multilevel"/>
    <w:tmpl w:val="3454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8A78ED"/>
    <w:multiLevelType w:val="hybridMultilevel"/>
    <w:tmpl w:val="CCAA1202"/>
    <w:lvl w:ilvl="0" w:tplc="2EDE87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1369E4"/>
    <w:multiLevelType w:val="multilevel"/>
    <w:tmpl w:val="5C28C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5E13E3"/>
    <w:multiLevelType w:val="multilevel"/>
    <w:tmpl w:val="DEF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30"/>
  </w:num>
  <w:num w:numId="4">
    <w:abstractNumId w:val="35"/>
  </w:num>
  <w:num w:numId="5">
    <w:abstractNumId w:val="19"/>
  </w:num>
  <w:num w:numId="6">
    <w:abstractNumId w:val="13"/>
  </w:num>
  <w:num w:numId="7">
    <w:abstractNumId w:val="17"/>
  </w:num>
  <w:num w:numId="8">
    <w:abstractNumId w:val="18"/>
  </w:num>
  <w:num w:numId="9">
    <w:abstractNumId w:val="14"/>
  </w:num>
  <w:num w:numId="10">
    <w:abstractNumId w:val="27"/>
  </w:num>
  <w:num w:numId="11">
    <w:abstractNumId w:val="8"/>
  </w:num>
  <w:num w:numId="12">
    <w:abstractNumId w:val="20"/>
  </w:num>
  <w:num w:numId="13">
    <w:abstractNumId w:val="32"/>
  </w:num>
  <w:num w:numId="14">
    <w:abstractNumId w:val="3"/>
  </w:num>
  <w:num w:numId="15">
    <w:abstractNumId w:val="16"/>
  </w:num>
  <w:num w:numId="16">
    <w:abstractNumId w:val="31"/>
  </w:num>
  <w:num w:numId="17">
    <w:abstractNumId w:val="25"/>
  </w:num>
  <w:num w:numId="18">
    <w:abstractNumId w:val="4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15"/>
  </w:num>
  <w:num w:numId="27">
    <w:abstractNumId w:val="21"/>
  </w:num>
  <w:num w:numId="28">
    <w:abstractNumId w:val="26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9"/>
  </w:num>
  <w:num w:numId="33">
    <w:abstractNumId w:val="33"/>
  </w:num>
  <w:num w:numId="34">
    <w:abstractNumId w:val="28"/>
  </w:num>
  <w:num w:numId="35">
    <w:abstractNumId w:val="2"/>
  </w:num>
  <w:num w:numId="36">
    <w:abstractNumId w:val="5"/>
  </w:num>
  <w:num w:numId="37">
    <w:abstractNumId w:val="12"/>
  </w:num>
  <w:num w:numId="38">
    <w:abstractNumId w:val="1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43CB"/>
    <w:rsid w:val="0037037C"/>
    <w:rsid w:val="00376588"/>
    <w:rsid w:val="003810C4"/>
    <w:rsid w:val="0039185A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5AAD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1C"/>
    <w:rsid w:val="00647E74"/>
    <w:rsid w:val="00662CF8"/>
    <w:rsid w:val="006639CC"/>
    <w:rsid w:val="00673AC6"/>
    <w:rsid w:val="00673EC4"/>
    <w:rsid w:val="00675D41"/>
    <w:rsid w:val="00676211"/>
    <w:rsid w:val="00687EF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0B9"/>
    <w:rsid w:val="00774168"/>
    <w:rsid w:val="00774512"/>
    <w:rsid w:val="00781739"/>
    <w:rsid w:val="00785560"/>
    <w:rsid w:val="0079083A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23E7"/>
    <w:rsid w:val="008359D7"/>
    <w:rsid w:val="00837180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1B7E"/>
    <w:rsid w:val="008E5A43"/>
    <w:rsid w:val="008F33B9"/>
    <w:rsid w:val="00900CA5"/>
    <w:rsid w:val="00906122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6FA6"/>
    <w:rsid w:val="009B1E7B"/>
    <w:rsid w:val="009B267B"/>
    <w:rsid w:val="009B4D72"/>
    <w:rsid w:val="009B6D21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586F"/>
    <w:rsid w:val="00A9672B"/>
    <w:rsid w:val="00A9686E"/>
    <w:rsid w:val="00AA3BA8"/>
    <w:rsid w:val="00AB5E54"/>
    <w:rsid w:val="00AC585D"/>
    <w:rsid w:val="00AC63A1"/>
    <w:rsid w:val="00AC74C2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223E7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5DA0"/>
    <w:rsid w:val="00C0358E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55FB4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D26F8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43CCA"/>
    <w:rsid w:val="00F47195"/>
    <w:rsid w:val="00F50B51"/>
    <w:rsid w:val="00F56439"/>
    <w:rsid w:val="00F648E3"/>
    <w:rsid w:val="00F80A61"/>
    <w:rsid w:val="00F81938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1B87"/>
    <w:rsid w:val="00FC2050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2AF1-EFC1-404A-8456-7DF4B51B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459</cp:revision>
  <dcterms:created xsi:type="dcterms:W3CDTF">2014-02-05T13:47:00Z</dcterms:created>
  <dcterms:modified xsi:type="dcterms:W3CDTF">2020-05-19T06:33:00Z</dcterms:modified>
</cp:coreProperties>
</file>