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F17066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 промышленности, коммуникациям и инфраструктуре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58200C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5172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F17066">
        <w:rPr>
          <w:b/>
          <w:sz w:val="24"/>
          <w:szCs w:val="24"/>
        </w:rPr>
        <w:t xml:space="preserve">ября </w:t>
      </w:r>
      <w:r w:rsidR="00F9450B">
        <w:rPr>
          <w:b/>
          <w:sz w:val="24"/>
          <w:szCs w:val="24"/>
        </w:rPr>
        <w:t>2018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DB091B">
              <w:rPr>
                <w:b/>
                <w:sz w:val="24"/>
                <w:szCs w:val="24"/>
              </w:rPr>
              <w:t>ну деятельности комитета на 2018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F27F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8508BF" w:rsidRDefault="008508BF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508BF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58200C" w:rsidRDefault="0058200C" w:rsidP="00FD65F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 xml:space="preserve">Рассмотрение обращения </w:t>
            </w:r>
            <w:r w:rsidRPr="0058200C">
              <w:rPr>
                <w:iCs/>
                <w:sz w:val="24"/>
                <w:szCs w:val="24"/>
              </w:rPr>
              <w:t xml:space="preserve">директора УФПС Архангельской области – филиала ФГУП «Почта России» </w:t>
            </w:r>
            <w:r w:rsidRPr="0058200C">
              <w:rPr>
                <w:rFonts w:eastAsia="Calibri"/>
                <w:sz w:val="24"/>
                <w:szCs w:val="24"/>
              </w:rPr>
              <w:t xml:space="preserve">Г.М. </w:t>
            </w:r>
            <w:proofErr w:type="spellStart"/>
            <w:r w:rsidRPr="0058200C">
              <w:rPr>
                <w:rFonts w:eastAsia="Calibri"/>
                <w:sz w:val="24"/>
                <w:szCs w:val="24"/>
              </w:rPr>
              <w:t>Бедрина</w:t>
            </w:r>
            <w:proofErr w:type="spellEnd"/>
            <w:r w:rsidRPr="0058200C">
              <w:rPr>
                <w:sz w:val="24"/>
                <w:szCs w:val="24"/>
              </w:rPr>
              <w:t xml:space="preserve"> по вопросу размещения абонентских почтовых шкафов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58200C" w:rsidRDefault="0058200C" w:rsidP="005820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00C">
              <w:rPr>
                <w:rFonts w:eastAsia="Calibri"/>
                <w:sz w:val="24"/>
                <w:szCs w:val="24"/>
              </w:rPr>
              <w:t>Бедрин</w:t>
            </w:r>
            <w:proofErr w:type="spellEnd"/>
            <w:r w:rsidRPr="0058200C">
              <w:rPr>
                <w:sz w:val="24"/>
                <w:szCs w:val="24"/>
              </w:rPr>
              <w:t xml:space="preserve"> Г.М.,</w:t>
            </w:r>
          </w:p>
          <w:p w:rsidR="0058200C" w:rsidRPr="0058200C" w:rsidRDefault="0058200C" w:rsidP="005820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Родичев Н.П.,</w:t>
            </w:r>
          </w:p>
          <w:p w:rsidR="0058200C" w:rsidRPr="0058200C" w:rsidRDefault="0058200C" w:rsidP="0058200C">
            <w:pPr>
              <w:autoSpaceDN w:val="0"/>
              <w:jc w:val="center"/>
            </w:pPr>
            <w:r w:rsidRPr="0058200C">
              <w:t>Лемешева Т.Т., Строганова С.Ю.,</w:t>
            </w:r>
          </w:p>
          <w:p w:rsidR="0058200C" w:rsidRPr="0058200C" w:rsidRDefault="0058200C" w:rsidP="0058200C">
            <w:pPr>
              <w:autoSpaceDN w:val="0"/>
              <w:jc w:val="center"/>
            </w:pPr>
            <w:proofErr w:type="spellStart"/>
            <w:r w:rsidRPr="0058200C">
              <w:t>Силуянова</w:t>
            </w:r>
            <w:proofErr w:type="spellEnd"/>
            <w:r w:rsidRPr="0058200C">
              <w:t xml:space="preserve"> Н.Ю., Шестаков А.В.</w:t>
            </w:r>
          </w:p>
          <w:p w:rsidR="00F27FC7" w:rsidRPr="00A24CAB" w:rsidRDefault="00F27FC7" w:rsidP="005820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rPr>
                <w:bCs/>
              </w:rPr>
              <w:t>Абонентский почтовый шкаф</w:t>
            </w:r>
            <w:r w:rsidRPr="0058200C">
              <w:t xml:space="preserve"> - это специальный шкаф с запирающимися ячейками, предназначенный для получения адресатами почтовых отправлений (</w:t>
            </w:r>
            <w:hyperlink r:id="rId6" w:history="1">
              <w:r w:rsidRPr="0058200C">
                <w:t>ст. 2</w:t>
              </w:r>
            </w:hyperlink>
            <w:r w:rsidRPr="0058200C">
              <w:t xml:space="preserve"> Федерального закона от 17.07.1999 № 176-ФЗ «О почтовой связи»).</w:t>
            </w:r>
          </w:p>
          <w:p w:rsidR="0058200C" w:rsidRPr="0058200C" w:rsidRDefault="0058200C" w:rsidP="0058200C">
            <w:pPr>
              <w:pStyle w:val="ConsPlusNormal"/>
              <w:ind w:firstLine="539"/>
              <w:jc w:val="both"/>
            </w:pPr>
            <w:r w:rsidRPr="0058200C">
              <w:t xml:space="preserve">Абонентские почтовые шкафы устанавливаются строительными организациями на первых этажах многоэтажных жилых домов. </w:t>
            </w:r>
          </w:p>
          <w:p w:rsidR="0058200C" w:rsidRPr="0058200C" w:rsidRDefault="0058200C" w:rsidP="0058200C">
            <w:pPr>
              <w:pStyle w:val="ConsPlusNormal"/>
              <w:ind w:firstLine="539"/>
              <w:jc w:val="both"/>
            </w:pPr>
            <w:r w:rsidRPr="0058200C">
              <w:t xml:space="preserve">Расходы на приобретение и установку абонентских почтовых шкафов включаются в смету строительства этих домов. </w:t>
            </w:r>
          </w:p>
          <w:p w:rsidR="0058200C" w:rsidRPr="0058200C" w:rsidRDefault="0058200C" w:rsidP="0058200C">
            <w:pPr>
              <w:pStyle w:val="ConsPlusNormal"/>
              <w:ind w:firstLine="539"/>
              <w:jc w:val="both"/>
            </w:pPr>
            <w:r w:rsidRPr="0058200C">
              <w:t xml:space="preserve">Представители организаций федеральной почтовой связи участвуют в работе комиссий при принятии в эксплуатацию жилых домов. </w:t>
            </w:r>
          </w:p>
          <w:p w:rsidR="0058200C" w:rsidRPr="0058200C" w:rsidRDefault="0058200C" w:rsidP="0058200C">
            <w:pPr>
              <w:pStyle w:val="ConsPlusNormal"/>
              <w:ind w:firstLine="539"/>
              <w:jc w:val="both"/>
            </w:pPr>
            <w:r w:rsidRPr="0058200C">
              <w:t>(п. 8 ст. 31, Федеральный закон от 17.07.1999 № 176-ФЗ «О почтовой связи»)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>Таким образом, законодательно закрепляется обязанность строительных организаций устанавливать на первых этажах многоэтажных домов абонентские почтовые шкафы (специальные шкафы с запирающимися ячейками, устанавливаемые в жилых домах, а также на доставочных участках, предназначенные для получения адресатами почтовых отправлений). При этом необходимо отметить, что расходы на приобретение и установку абонентских почтовых шкафов должны быть обязательно включены в смету строительства указанных домов.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lastRenderedPageBreak/>
              <w:t xml:space="preserve">После принятия жилого дома в эксплуатацию собственники жилых домов и жилищно-эксплуатационные организации в отношении абонентских почтовых ящиков принимают на себя и </w:t>
            </w:r>
            <w:proofErr w:type="gramStart"/>
            <w:r w:rsidRPr="0058200C">
              <w:t>несут следующие обязанности</w:t>
            </w:r>
            <w:proofErr w:type="gramEnd"/>
            <w:r w:rsidRPr="0058200C">
              <w:t>: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>- обслуживание;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>- ремонт;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>- замена;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>- обеспечение сохранности;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>- надлежащее использование.</w:t>
            </w:r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 xml:space="preserve">Это положение связано с тем, что в соответствии с нормами </w:t>
            </w:r>
            <w:proofErr w:type="gramStart"/>
            <w:r w:rsidRPr="0058200C">
              <w:t>действующего</w:t>
            </w:r>
            <w:proofErr w:type="gramEnd"/>
            <w:r w:rsidRPr="0058200C">
              <w:t xml:space="preserve"> российского законодательства (в частности, </w:t>
            </w:r>
            <w:hyperlink r:id="rId7" w:history="1">
              <w:r w:rsidRPr="0058200C">
                <w:t>ЖК</w:t>
              </w:r>
            </w:hyperlink>
            <w:r w:rsidRPr="0058200C">
              <w:t xml:space="preserve"> РФ; </w:t>
            </w:r>
            <w:hyperlink r:id="rId8" w:history="1">
              <w:proofErr w:type="gramStart"/>
              <w:r w:rsidRPr="0058200C">
                <w:t>Постановления</w:t>
              </w:r>
            </w:hyperlink>
            <w:r w:rsidRPr="0058200C"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  <w:r w:rsidRPr="0058200C">
              <w:t xml:space="preserve"> </w:t>
            </w:r>
            <w:hyperlink r:id="rId9" w:history="1">
              <w:proofErr w:type="gramStart"/>
              <w:r w:rsidRPr="0058200C">
                <w:t>Приказа</w:t>
              </w:r>
            </w:hyperlink>
            <w:r w:rsidRPr="0058200C">
              <w:t xml:space="preserve"> Министерства регионального развития РФ от 01.06.2007 № 45 «Об утверждении Положения о разработке, передаче, пользовании и хранении инструкции по эксплуатации многоквартирного дома» и др.) почтовые ящики являются материальными ценностями, относящимися к общему имуществу.</w:t>
            </w:r>
            <w:proofErr w:type="gramEnd"/>
          </w:p>
          <w:p w:rsidR="0058200C" w:rsidRPr="0058200C" w:rsidRDefault="0058200C" w:rsidP="0058200C">
            <w:pPr>
              <w:autoSpaceDE w:val="0"/>
              <w:autoSpaceDN w:val="0"/>
              <w:adjustRightInd w:val="0"/>
              <w:ind w:firstLine="539"/>
              <w:jc w:val="both"/>
            </w:pPr>
            <w:r w:rsidRPr="0058200C">
              <w:t>Таким образом, в соответствии с вышеназванными нормативными актами обслуживание абонентских почтовых шкафов происходит именно за счет собственников жилых помещений в соответствующем жилом доме. Из этого следует, что если жилищный фонд является государственным или муниципальным, то данные расходы осуществляются за счет средств соответствующего бюджета.</w:t>
            </w:r>
          </w:p>
          <w:p w:rsidR="0058200C" w:rsidRPr="00F24F0A" w:rsidRDefault="0058200C" w:rsidP="0058200C">
            <w:pPr>
              <w:ind w:firstLine="567"/>
              <w:jc w:val="both"/>
            </w:pPr>
            <w:r w:rsidRPr="0058200C">
              <w:t>В рамках мероприятий по улучшению доставки сотрудниками Управления федеральной почтовой связи Архангельской области</w:t>
            </w:r>
            <w:r w:rsidRPr="0058200C">
              <w:rPr>
                <w:color w:val="1F497D"/>
              </w:rPr>
              <w:t>,</w:t>
            </w:r>
            <w:r w:rsidRPr="0058200C">
              <w:t xml:space="preserve"> в июне проведен мониторинг состояния индивидуальных почтовых шкафов в </w:t>
            </w:r>
            <w:r w:rsidRPr="0058200C">
              <w:lastRenderedPageBreak/>
              <w:t>многоквартирных жилых домах. По результатам мониторинга выявлено, что  удовлетворительное состояние почтовых шкафов, в которые почтальоны могут оставлять письменную корреспонденцию, составляет 87,8% адресов многоквартирных домов в регионе.</w:t>
            </w:r>
          </w:p>
          <w:p w:rsidR="00F27FC7" w:rsidRPr="00A24CAB" w:rsidRDefault="00F27FC7" w:rsidP="009D7F74">
            <w:pPr>
              <w:tabs>
                <w:tab w:val="left" w:pos="0"/>
                <w:tab w:val="left" w:pos="993"/>
              </w:tabs>
              <w:ind w:firstLine="567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C7" w:rsidRPr="00F15969" w:rsidRDefault="0058200C" w:rsidP="00027E0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C7" w:rsidRPr="00F15969" w:rsidRDefault="0058200C" w:rsidP="00027E07">
            <w:pPr>
              <w:jc w:val="center"/>
            </w:pPr>
            <w:r>
              <w:t xml:space="preserve">Информацию </w:t>
            </w:r>
            <w:r w:rsidRPr="0058200C">
              <w:rPr>
                <w:iCs/>
              </w:rPr>
              <w:t xml:space="preserve">директора УФПС Архангельской области – филиала ФГУП «Почта России» </w:t>
            </w:r>
            <w:r w:rsidRPr="0058200C">
              <w:rPr>
                <w:rFonts w:eastAsia="Calibri"/>
              </w:rPr>
              <w:t xml:space="preserve">Г.М. </w:t>
            </w:r>
            <w:proofErr w:type="spellStart"/>
            <w:r w:rsidRPr="0058200C">
              <w:rPr>
                <w:rFonts w:eastAsia="Calibri"/>
              </w:rPr>
              <w:t>Бедрина</w:t>
            </w:r>
            <w:proofErr w:type="spellEnd"/>
            <w:r w:rsidRPr="0058200C">
              <w:t xml:space="preserve"> по вопросу размещения абонентских почтовых шкафов</w:t>
            </w:r>
            <w:r>
              <w:t xml:space="preserve"> принять к сведению</w:t>
            </w:r>
          </w:p>
        </w:tc>
      </w:tr>
      <w:tr w:rsidR="00FD65FD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643C66" w:rsidRDefault="0058200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D65F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B8108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C45C07">
              <w:t>Рассмотрение ходатайства</w:t>
            </w:r>
            <w:r w:rsidRPr="00C45C07">
              <w:rPr>
                <w:bCs/>
              </w:rPr>
              <w:t xml:space="preserve"> </w:t>
            </w:r>
          </w:p>
          <w:p w:rsidR="00FD65FD" w:rsidRPr="00C45C07" w:rsidRDefault="00FD65FD" w:rsidP="00C45C0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C45C07">
              <w:t xml:space="preserve"> </w:t>
            </w:r>
            <w:r w:rsidR="0058200C">
              <w:rPr>
                <w:szCs w:val="28"/>
              </w:rPr>
              <w:t xml:space="preserve">генерального директора АО «Центр судоремонта «Звездочка»  С.Ю. </w:t>
            </w:r>
            <w:proofErr w:type="spellStart"/>
            <w:r w:rsidR="0058200C">
              <w:rPr>
                <w:szCs w:val="28"/>
              </w:rPr>
              <w:t>Маричева</w:t>
            </w:r>
            <w:proofErr w:type="spellEnd"/>
            <w:r w:rsidR="0058200C">
              <w:rPr>
                <w:szCs w:val="28"/>
              </w:rPr>
              <w:t xml:space="preserve"> по объявлению Благодарности Архангельского областного Собрания депутатов </w:t>
            </w:r>
            <w:proofErr w:type="spellStart"/>
            <w:r w:rsidR="0058200C">
              <w:rPr>
                <w:szCs w:val="28"/>
              </w:rPr>
              <w:t>Музычко</w:t>
            </w:r>
            <w:proofErr w:type="spellEnd"/>
            <w:r w:rsidR="0058200C">
              <w:rPr>
                <w:szCs w:val="28"/>
              </w:rPr>
              <w:t xml:space="preserve"> Анатолию Александровичу, водителю автомобиля АО «Центр судоремонта «Звездочка»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FD65FD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C45C07"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58200C" w:rsidRDefault="00FD65FD" w:rsidP="0058200C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58200C">
              <w:rPr>
                <w:bCs/>
                <w:sz w:val="24"/>
                <w:szCs w:val="24"/>
              </w:rPr>
              <w:t>ходатайство</w:t>
            </w:r>
            <w:r w:rsidR="0058200C" w:rsidRPr="0058200C">
              <w:rPr>
                <w:bCs/>
                <w:sz w:val="24"/>
                <w:szCs w:val="24"/>
              </w:rPr>
              <w:t xml:space="preserve"> </w:t>
            </w:r>
            <w:r w:rsidR="0058200C" w:rsidRPr="0058200C">
              <w:rPr>
                <w:sz w:val="24"/>
                <w:szCs w:val="24"/>
              </w:rPr>
              <w:t xml:space="preserve">генерального директора АО «Центр судоремонта «Звездочка»  С.Ю. </w:t>
            </w:r>
            <w:proofErr w:type="spellStart"/>
            <w:r w:rsidR="0058200C" w:rsidRPr="0058200C">
              <w:rPr>
                <w:sz w:val="24"/>
                <w:szCs w:val="24"/>
              </w:rPr>
              <w:t>Маричева</w:t>
            </w:r>
            <w:proofErr w:type="spellEnd"/>
            <w:r w:rsidR="0058200C" w:rsidRPr="0058200C">
              <w:rPr>
                <w:sz w:val="24"/>
                <w:szCs w:val="24"/>
              </w:rPr>
              <w:t xml:space="preserve"> по объявлению Благодарности Архангельского областного Собрания депутатов </w:t>
            </w:r>
            <w:proofErr w:type="spellStart"/>
            <w:r w:rsidR="0058200C" w:rsidRPr="0058200C">
              <w:rPr>
                <w:sz w:val="24"/>
                <w:szCs w:val="24"/>
              </w:rPr>
              <w:t>Музычко</w:t>
            </w:r>
            <w:proofErr w:type="spellEnd"/>
            <w:r w:rsidR="0058200C" w:rsidRPr="0058200C">
              <w:rPr>
                <w:sz w:val="24"/>
                <w:szCs w:val="24"/>
              </w:rPr>
              <w:t xml:space="preserve"> Анатолию Александровичу, водителю автомобиля АО «Центр судоремонта «Звездочка».</w:t>
            </w:r>
          </w:p>
          <w:p w:rsidR="00FD65FD" w:rsidRPr="00C45C07" w:rsidRDefault="00FD65FD" w:rsidP="00B81082">
            <w:pPr>
              <w:ind w:firstLine="60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FD" w:rsidRPr="00C45C07" w:rsidRDefault="00FD65FD" w:rsidP="00027E07">
            <w:pPr>
              <w:shd w:val="clear" w:color="auto" w:fill="FFFFFF"/>
              <w:jc w:val="center"/>
            </w:pPr>
            <w:r w:rsidRPr="00C45C07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D" w:rsidRPr="00C45C07" w:rsidRDefault="00FD65FD" w:rsidP="00585BAD">
            <w:pPr>
              <w:pStyle w:val="a3"/>
              <w:tabs>
                <w:tab w:val="left" w:pos="709"/>
              </w:tabs>
              <w:ind w:firstLine="0"/>
              <w:jc w:val="center"/>
            </w:pPr>
            <w:r w:rsidRPr="00C45C07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58200C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Default="0058200C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58200C" w:rsidRDefault="0058200C" w:rsidP="003134F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58200C">
              <w:rPr>
                <w:bCs/>
              </w:rPr>
              <w:t xml:space="preserve">О планировании работы комитета по промышленности, коммуникациям и инфраструктуре </w:t>
            </w:r>
            <w:r w:rsidRPr="0058200C">
              <w:t xml:space="preserve">Архангельского областного Собрания депутатов </w:t>
            </w:r>
            <w:r w:rsidRPr="0058200C">
              <w:rPr>
                <w:bCs/>
              </w:rPr>
              <w:t>на 2019 год</w:t>
            </w:r>
          </w:p>
          <w:p w:rsidR="0058200C" w:rsidRPr="003A6C29" w:rsidRDefault="0058200C" w:rsidP="003134F2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C45C07" w:rsidRDefault="0058200C" w:rsidP="003134F2">
            <w:pPr>
              <w:jc w:val="center"/>
            </w:pPr>
            <w:r w:rsidRPr="00C45C07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58200C" w:rsidRDefault="0058200C" w:rsidP="0058200C">
            <w:pPr>
              <w:pStyle w:val="a7"/>
              <w:numPr>
                <w:ilvl w:val="0"/>
                <w:numId w:val="17"/>
              </w:numPr>
              <w:tabs>
                <w:tab w:val="left" w:pos="993"/>
              </w:tabs>
              <w:ind w:left="0" w:firstLine="459"/>
              <w:contextualSpacing/>
              <w:jc w:val="both"/>
            </w:pPr>
            <w:r w:rsidRPr="0058200C">
              <w:t>О предложениях депутатов в план проведения основных парламентских мероприятий Архангельского областного Собрания депутатов на 2019 год («круглые столы», выездные заседания комитета);</w:t>
            </w:r>
          </w:p>
          <w:p w:rsidR="0058200C" w:rsidRPr="0058200C" w:rsidRDefault="0058200C" w:rsidP="0058200C">
            <w:pPr>
              <w:pStyle w:val="a3"/>
              <w:numPr>
                <w:ilvl w:val="0"/>
                <w:numId w:val="17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 xml:space="preserve">О предложениях депутатов в график проведения «правительственных часов» на 2019 год; </w:t>
            </w:r>
          </w:p>
          <w:p w:rsidR="0058200C" w:rsidRPr="0058200C" w:rsidRDefault="0058200C" w:rsidP="0058200C">
            <w:pPr>
              <w:pStyle w:val="a3"/>
              <w:numPr>
                <w:ilvl w:val="0"/>
                <w:numId w:val="17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депутатов в «Примерную программу законопроектной и нормотворческой работы Архангельского областного Собрания депутатов седьмого созыва на 2019 год»;</w:t>
            </w:r>
          </w:p>
          <w:p w:rsidR="0058200C" w:rsidRPr="0058200C" w:rsidRDefault="0058200C" w:rsidP="0058200C">
            <w:pPr>
              <w:pStyle w:val="a3"/>
              <w:numPr>
                <w:ilvl w:val="0"/>
                <w:numId w:val="17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депутатов в план реализации Соглашения о взаимодействии между Архангельским областным Собранием депутатов и Северным (Арктическим) федеральным университетом на 2019 год;</w:t>
            </w:r>
          </w:p>
          <w:p w:rsidR="0058200C" w:rsidRPr="0058200C" w:rsidRDefault="0058200C" w:rsidP="0058200C">
            <w:pPr>
              <w:pStyle w:val="a3"/>
              <w:numPr>
                <w:ilvl w:val="0"/>
                <w:numId w:val="17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 xml:space="preserve">О предложениях депутатов в План работы Координационного Совета представительных органов муниципальных образований Архангельской области на </w:t>
            </w:r>
            <w:r w:rsidRPr="0058200C">
              <w:rPr>
                <w:sz w:val="24"/>
                <w:szCs w:val="24"/>
              </w:rPr>
              <w:lastRenderedPageBreak/>
              <w:t>2019 год;</w:t>
            </w:r>
          </w:p>
          <w:p w:rsidR="0058200C" w:rsidRPr="0058200C" w:rsidRDefault="0058200C" w:rsidP="0058200C">
            <w:pPr>
              <w:pStyle w:val="a3"/>
              <w:numPr>
                <w:ilvl w:val="0"/>
                <w:numId w:val="17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(поручениях) депутатов в План работы контрольно-счетной палаты Архангельской области на 2019 год;</w:t>
            </w:r>
          </w:p>
          <w:p w:rsidR="0058200C" w:rsidRPr="0058200C" w:rsidRDefault="0058200C" w:rsidP="0058200C">
            <w:pPr>
              <w:pStyle w:val="a3"/>
              <w:numPr>
                <w:ilvl w:val="0"/>
                <w:numId w:val="17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 xml:space="preserve">О предложениях в план работы Парламентской Ассоциации </w:t>
            </w:r>
            <w:proofErr w:type="spellStart"/>
            <w:r w:rsidRPr="0058200C">
              <w:rPr>
                <w:sz w:val="24"/>
                <w:szCs w:val="24"/>
              </w:rPr>
              <w:t>Северо-Запада</w:t>
            </w:r>
            <w:proofErr w:type="spellEnd"/>
            <w:r w:rsidRPr="0058200C">
              <w:rPr>
                <w:sz w:val="24"/>
                <w:szCs w:val="24"/>
              </w:rPr>
              <w:t xml:space="preserve"> России на 2019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C" w:rsidRPr="003A6C29" w:rsidRDefault="0058200C" w:rsidP="003134F2">
            <w:pPr>
              <w:shd w:val="clear" w:color="auto" w:fill="FFFFFF"/>
              <w:jc w:val="center"/>
            </w:pPr>
            <w:r w:rsidRPr="003A6C29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3A6C29" w:rsidRDefault="0058200C" w:rsidP="00585BAD">
            <w:pPr>
              <w:jc w:val="center"/>
            </w:pPr>
            <w:r w:rsidRPr="003A6C29">
              <w:t xml:space="preserve">Информацию о </w:t>
            </w:r>
            <w:r>
              <w:t xml:space="preserve">планировании работы на 2019 год </w:t>
            </w:r>
            <w:r w:rsidRPr="003A6C29">
              <w:t>принять к сведению</w:t>
            </w:r>
          </w:p>
        </w:tc>
      </w:tr>
      <w:tr w:rsidR="0058200C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Default="001F57D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8200C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EC57E4" w:rsidRDefault="001F57D9" w:rsidP="00C45C07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C57E4">
              <w:rPr>
                <w:sz w:val="24"/>
                <w:szCs w:val="24"/>
              </w:rPr>
              <w:t xml:space="preserve">Об избрании на должность заместителя председателя </w:t>
            </w:r>
            <w:r w:rsidR="00EC57E4" w:rsidRPr="00EC57E4">
              <w:rPr>
                <w:bCs/>
                <w:sz w:val="24"/>
                <w:szCs w:val="24"/>
              </w:rPr>
              <w:t xml:space="preserve">комитета по промышленности, коммуникациям и инфраструктуре </w:t>
            </w:r>
            <w:r w:rsidR="00EC57E4" w:rsidRPr="00EC57E4">
              <w:rPr>
                <w:sz w:val="24"/>
                <w:szCs w:val="24"/>
              </w:rPr>
              <w:t>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EC57E4" w:rsidRDefault="001F57D9" w:rsidP="00B81082">
            <w:pPr>
              <w:jc w:val="center"/>
            </w:pPr>
            <w:r w:rsidRPr="00EC57E4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EC57E4" w:rsidRDefault="00EC57E4" w:rsidP="00B81082">
            <w:pPr>
              <w:pStyle w:val="a3"/>
              <w:ind w:firstLine="709"/>
              <w:rPr>
                <w:sz w:val="24"/>
                <w:szCs w:val="24"/>
              </w:rPr>
            </w:pPr>
            <w:r w:rsidRPr="00EC57E4">
              <w:rPr>
                <w:sz w:val="24"/>
                <w:szCs w:val="24"/>
              </w:rPr>
              <w:t xml:space="preserve">В ходе заседания комитета поступило  предложение председателя комитета В.С. Петросяна об избрании на должность </w:t>
            </w:r>
            <w:proofErr w:type="gramStart"/>
            <w:r w:rsidRPr="00EC57E4">
              <w:rPr>
                <w:sz w:val="24"/>
                <w:szCs w:val="24"/>
              </w:rPr>
              <w:t>заместителя председателя комитета Новикова Александрова Владимировича</w:t>
            </w:r>
            <w:proofErr w:type="gramEnd"/>
            <w:r w:rsidRPr="00EC57E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C" w:rsidRPr="00EC57E4" w:rsidRDefault="0058200C" w:rsidP="00B81082">
            <w:pPr>
              <w:shd w:val="clear" w:color="auto" w:fill="FFFFFF"/>
              <w:jc w:val="center"/>
            </w:pPr>
            <w:r w:rsidRPr="00EC57E4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0C" w:rsidRPr="00EC57E4" w:rsidRDefault="001F57D9" w:rsidP="00B81082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EC57E4">
              <w:rPr>
                <w:sz w:val="24"/>
                <w:szCs w:val="24"/>
              </w:rPr>
              <w:t xml:space="preserve">Избрать на должность </w:t>
            </w:r>
            <w:proofErr w:type="gramStart"/>
            <w:r w:rsidRPr="00EC57E4">
              <w:rPr>
                <w:sz w:val="24"/>
                <w:szCs w:val="24"/>
              </w:rPr>
              <w:t>заместителя председателя комитета Новикова Александрова Владимировича</w:t>
            </w:r>
            <w:proofErr w:type="gramEnd"/>
            <w:r w:rsidR="00EC57E4" w:rsidRPr="00EC57E4">
              <w:rPr>
                <w:sz w:val="24"/>
                <w:szCs w:val="24"/>
              </w:rPr>
              <w:t>.</w:t>
            </w:r>
          </w:p>
          <w:p w:rsidR="0058200C" w:rsidRPr="00EC57E4" w:rsidRDefault="0058200C" w:rsidP="00B81082">
            <w:pPr>
              <w:jc w:val="center"/>
            </w:pPr>
          </w:p>
        </w:tc>
      </w:tr>
    </w:tbl>
    <w:p w:rsidR="00445ADD" w:rsidRPr="00F648E3" w:rsidRDefault="00445ADD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54545"/>
    <w:multiLevelType w:val="hybridMultilevel"/>
    <w:tmpl w:val="680C2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A3725"/>
    <w:multiLevelType w:val="hybridMultilevel"/>
    <w:tmpl w:val="7AF8E680"/>
    <w:lvl w:ilvl="0" w:tplc="B698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E51C7"/>
    <w:multiLevelType w:val="hybridMultilevel"/>
    <w:tmpl w:val="4FD2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48CF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66BBE"/>
    <w:multiLevelType w:val="hybridMultilevel"/>
    <w:tmpl w:val="B1DC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905A0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04308"/>
    <w:multiLevelType w:val="hybridMultilevel"/>
    <w:tmpl w:val="23E8E948"/>
    <w:lvl w:ilvl="0" w:tplc="67E6434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050881"/>
    <w:multiLevelType w:val="hybridMultilevel"/>
    <w:tmpl w:val="611CF1DC"/>
    <w:lvl w:ilvl="0" w:tplc="44ACD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4C393D"/>
    <w:multiLevelType w:val="hybridMultilevel"/>
    <w:tmpl w:val="D37A6914"/>
    <w:lvl w:ilvl="0" w:tplc="C0841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B2B75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601D6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D7755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837145"/>
    <w:multiLevelType w:val="hybridMultilevel"/>
    <w:tmpl w:val="BCDCECD8"/>
    <w:lvl w:ilvl="0" w:tplc="4F168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16E13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F122E"/>
    <w:multiLevelType w:val="hybridMultilevel"/>
    <w:tmpl w:val="659C6844"/>
    <w:lvl w:ilvl="0" w:tplc="58E01F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B67233"/>
    <w:multiLevelType w:val="hybridMultilevel"/>
    <w:tmpl w:val="37FC3B5A"/>
    <w:lvl w:ilvl="0" w:tplc="6FE2B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7953C8"/>
    <w:multiLevelType w:val="hybridMultilevel"/>
    <w:tmpl w:val="B07283DA"/>
    <w:lvl w:ilvl="0" w:tplc="9D8C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2A5523"/>
    <w:multiLevelType w:val="hybridMultilevel"/>
    <w:tmpl w:val="AC30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C5F54D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4D84583"/>
    <w:multiLevelType w:val="hybridMultilevel"/>
    <w:tmpl w:val="88689350"/>
    <w:lvl w:ilvl="0" w:tplc="CD525C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877AC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500F86"/>
    <w:multiLevelType w:val="hybridMultilevel"/>
    <w:tmpl w:val="12CC91CE"/>
    <w:lvl w:ilvl="0" w:tplc="FA28663C">
      <w:start w:val="1"/>
      <w:numFmt w:val="decimal"/>
      <w:lvlText w:val="%1)"/>
      <w:lvlJc w:val="left"/>
      <w:pPr>
        <w:ind w:left="144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89341C"/>
    <w:multiLevelType w:val="hybridMultilevel"/>
    <w:tmpl w:val="E6388E86"/>
    <w:lvl w:ilvl="0" w:tplc="E1FC1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8D4027"/>
    <w:multiLevelType w:val="multilevel"/>
    <w:tmpl w:val="D2524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2"/>
  </w:num>
  <w:num w:numId="3">
    <w:abstractNumId w:val="45"/>
  </w:num>
  <w:num w:numId="4">
    <w:abstractNumId w:val="37"/>
  </w:num>
  <w:num w:numId="5">
    <w:abstractNumId w:val="18"/>
  </w:num>
  <w:num w:numId="6">
    <w:abstractNumId w:val="28"/>
  </w:num>
  <w:num w:numId="7">
    <w:abstractNumId w:val="31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4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30"/>
  </w:num>
  <w:num w:numId="18">
    <w:abstractNumId w:val="0"/>
  </w:num>
  <w:num w:numId="19">
    <w:abstractNumId w:val="23"/>
  </w:num>
  <w:num w:numId="20">
    <w:abstractNumId w:val="4"/>
  </w:num>
  <w:num w:numId="21">
    <w:abstractNumId w:val="36"/>
  </w:num>
  <w:num w:numId="22">
    <w:abstractNumId w:val="10"/>
  </w:num>
  <w:num w:numId="23">
    <w:abstractNumId w:val="40"/>
  </w:num>
  <w:num w:numId="24">
    <w:abstractNumId w:val="21"/>
  </w:num>
  <w:num w:numId="25">
    <w:abstractNumId w:val="38"/>
  </w:num>
  <w:num w:numId="26">
    <w:abstractNumId w:val="33"/>
  </w:num>
  <w:num w:numId="27">
    <w:abstractNumId w:val="20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13"/>
  </w:num>
  <w:num w:numId="32">
    <w:abstractNumId w:val="1"/>
  </w:num>
  <w:num w:numId="33">
    <w:abstractNumId w:val="27"/>
  </w:num>
  <w:num w:numId="34">
    <w:abstractNumId w:val="8"/>
  </w:num>
  <w:num w:numId="35">
    <w:abstractNumId w:val="29"/>
  </w:num>
  <w:num w:numId="36">
    <w:abstractNumId w:val="25"/>
  </w:num>
  <w:num w:numId="37">
    <w:abstractNumId w:val="35"/>
  </w:num>
  <w:num w:numId="38">
    <w:abstractNumId w:val="22"/>
  </w:num>
  <w:num w:numId="39">
    <w:abstractNumId w:val="14"/>
  </w:num>
  <w:num w:numId="40">
    <w:abstractNumId w:val="39"/>
  </w:num>
  <w:num w:numId="41">
    <w:abstractNumId w:val="3"/>
  </w:num>
  <w:num w:numId="42">
    <w:abstractNumId w:val="15"/>
  </w:num>
  <w:num w:numId="43">
    <w:abstractNumId w:val="44"/>
  </w:num>
  <w:num w:numId="44">
    <w:abstractNumId w:val="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790E"/>
    <w:rsid w:val="001A2E28"/>
    <w:rsid w:val="001A570A"/>
    <w:rsid w:val="001B115B"/>
    <w:rsid w:val="001B15A4"/>
    <w:rsid w:val="001B7713"/>
    <w:rsid w:val="001C131E"/>
    <w:rsid w:val="001C7646"/>
    <w:rsid w:val="001E4F7A"/>
    <w:rsid w:val="001E52CC"/>
    <w:rsid w:val="001E58DE"/>
    <w:rsid w:val="001F014B"/>
    <w:rsid w:val="001F14FF"/>
    <w:rsid w:val="001F57D9"/>
    <w:rsid w:val="001F6E48"/>
    <w:rsid w:val="0020256D"/>
    <w:rsid w:val="002048DB"/>
    <w:rsid w:val="00207033"/>
    <w:rsid w:val="00227C35"/>
    <w:rsid w:val="0023471F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4283B"/>
    <w:rsid w:val="005477C0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3AC6"/>
    <w:rsid w:val="00673EC4"/>
    <w:rsid w:val="00675D41"/>
    <w:rsid w:val="00691C8E"/>
    <w:rsid w:val="00696EC6"/>
    <w:rsid w:val="006B3115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08BF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81038"/>
    <w:rsid w:val="00C83029"/>
    <w:rsid w:val="00C91E5B"/>
    <w:rsid w:val="00C95CDA"/>
    <w:rsid w:val="00CA6D5C"/>
    <w:rsid w:val="00CB09D2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55FC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B1EE2E9C338C1AF3A392800AB52CCDDA6BC9A2F5E58DD83E3662284a7N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6B1EE2E9C338C1AF3A392800AB52CCDDA5BA9C2B5A58DD83E3662284a7N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7B6A261EFB82827C6CB2899CB2CCEFAC1889CB7295C33E0A1123453B32F79262B2BDE0569D8B41t0M4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6B1EE2E9C338C1AF3A392800AB52CCDBA5B89A285105D78BBA6A20a8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AD43A-9C7A-4195-848A-21553577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305</cp:revision>
  <dcterms:created xsi:type="dcterms:W3CDTF">2014-02-05T13:47:00Z</dcterms:created>
  <dcterms:modified xsi:type="dcterms:W3CDTF">2018-11-13T05:27:00Z</dcterms:modified>
</cp:coreProperties>
</file>