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FB329C">
        <w:rPr>
          <w:b/>
          <w:iCs/>
          <w:sz w:val="24"/>
        </w:rPr>
        <w:t>3</w:t>
      </w:r>
    </w:p>
    <w:p w:rsidR="001879ED" w:rsidRPr="005B27EE" w:rsidRDefault="005B27EE" w:rsidP="001879ED">
      <w:pPr>
        <w:pStyle w:val="a3"/>
        <w:ind w:firstLine="0"/>
        <w:jc w:val="center"/>
        <w:rPr>
          <w:b/>
          <w:iCs/>
          <w:sz w:val="24"/>
          <w:szCs w:val="24"/>
        </w:rPr>
      </w:pPr>
      <w:r w:rsidRPr="005B27EE">
        <w:rPr>
          <w:b/>
          <w:i/>
          <w:iCs/>
          <w:sz w:val="24"/>
          <w:szCs w:val="24"/>
        </w:rPr>
        <w:t>по</w:t>
      </w:r>
      <w:r w:rsidRPr="005B27EE">
        <w:rPr>
          <w:b/>
          <w:iCs/>
          <w:sz w:val="24"/>
          <w:szCs w:val="24"/>
        </w:rPr>
        <w:t xml:space="preserve"> </w:t>
      </w:r>
      <w:r w:rsidRPr="005B27EE">
        <w:rPr>
          <w:b/>
          <w:i/>
          <w:iCs/>
          <w:sz w:val="24"/>
          <w:szCs w:val="24"/>
        </w:rPr>
        <w:t>вопросам бюджета,</w:t>
      </w:r>
      <w:r w:rsidR="006C2B31">
        <w:rPr>
          <w:b/>
          <w:i/>
          <w:iCs/>
          <w:sz w:val="24"/>
          <w:szCs w:val="24"/>
        </w:rPr>
        <w:t xml:space="preserve"> экономики, </w:t>
      </w:r>
      <w:r w:rsidRPr="005B27EE">
        <w:rPr>
          <w:b/>
          <w:i/>
          <w:iCs/>
          <w:sz w:val="24"/>
          <w:szCs w:val="24"/>
        </w:rPr>
        <w:t>финансовой и налоговой политике</w:t>
      </w:r>
      <w:r>
        <w:rPr>
          <w:b/>
          <w:iCs/>
          <w:sz w:val="24"/>
          <w:szCs w:val="24"/>
        </w:rPr>
        <w:t xml:space="preserve"> </w:t>
      </w:r>
      <w:r w:rsidR="001879ED"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FB329C">
        <w:rPr>
          <w:b/>
          <w:sz w:val="24"/>
          <w:szCs w:val="24"/>
        </w:rPr>
        <w:t xml:space="preserve">            </w:t>
      </w:r>
      <w:r>
        <w:rPr>
          <w:b/>
          <w:sz w:val="24"/>
          <w:szCs w:val="24"/>
        </w:rPr>
        <w:t>«</w:t>
      </w:r>
      <w:r w:rsidR="00796D96">
        <w:rPr>
          <w:b/>
          <w:sz w:val="24"/>
          <w:szCs w:val="24"/>
        </w:rPr>
        <w:t>1</w:t>
      </w:r>
      <w:r w:rsidR="0035199A">
        <w:rPr>
          <w:b/>
          <w:sz w:val="24"/>
          <w:szCs w:val="24"/>
        </w:rPr>
        <w:t>8</w:t>
      </w:r>
      <w:r>
        <w:rPr>
          <w:b/>
          <w:sz w:val="24"/>
          <w:szCs w:val="24"/>
        </w:rPr>
        <w:t>»</w:t>
      </w:r>
      <w:r w:rsidR="00AD2978">
        <w:rPr>
          <w:b/>
          <w:sz w:val="24"/>
          <w:szCs w:val="24"/>
        </w:rPr>
        <w:t xml:space="preserve"> </w:t>
      </w:r>
      <w:r w:rsidR="00FB329C">
        <w:rPr>
          <w:b/>
          <w:sz w:val="24"/>
          <w:szCs w:val="24"/>
        </w:rPr>
        <w:t>марта</w:t>
      </w:r>
      <w:r w:rsidR="00AD2978">
        <w:rPr>
          <w:b/>
          <w:sz w:val="24"/>
          <w:szCs w:val="24"/>
        </w:rPr>
        <w:t xml:space="preserve"> </w:t>
      </w:r>
      <w:r w:rsidRPr="00BF55F1">
        <w:rPr>
          <w:b/>
          <w:sz w:val="24"/>
          <w:szCs w:val="24"/>
        </w:rPr>
        <w:t>20</w:t>
      </w:r>
      <w:r>
        <w:rPr>
          <w:b/>
          <w:sz w:val="24"/>
          <w:szCs w:val="24"/>
        </w:rPr>
        <w:t>2</w:t>
      </w:r>
      <w:r w:rsidR="00796D96">
        <w:rPr>
          <w:b/>
          <w:sz w:val="24"/>
          <w:szCs w:val="24"/>
        </w:rPr>
        <w:t>4</w:t>
      </w:r>
      <w:r w:rsidRPr="00BF55F1">
        <w:rPr>
          <w:b/>
          <w:sz w:val="24"/>
          <w:szCs w:val="24"/>
        </w:rPr>
        <w:t xml:space="preserve"> года</w:t>
      </w:r>
      <w:r>
        <w:rPr>
          <w:b/>
          <w:sz w:val="24"/>
          <w:szCs w:val="24"/>
        </w:rPr>
        <w:t xml:space="preserve"> </w:t>
      </w:r>
      <w:r w:rsidR="00A34B66">
        <w:rPr>
          <w:b/>
          <w:sz w:val="24"/>
          <w:szCs w:val="24"/>
        </w:rPr>
        <w:t>1</w:t>
      </w:r>
      <w:r w:rsidR="00FB329C">
        <w:rPr>
          <w:b/>
          <w:sz w:val="24"/>
          <w:szCs w:val="24"/>
        </w:rPr>
        <w:t>0</w:t>
      </w:r>
      <w:r w:rsidR="006F0E6C">
        <w:rPr>
          <w:b/>
          <w:sz w:val="24"/>
          <w:szCs w:val="24"/>
        </w:rPr>
        <w:t>:</w:t>
      </w:r>
      <w:r w:rsidR="00287926">
        <w:rPr>
          <w:b/>
          <w:sz w:val="24"/>
          <w:szCs w:val="24"/>
        </w:rPr>
        <w:t>00</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52"/>
        <w:gridCol w:w="1701"/>
        <w:gridCol w:w="4961"/>
        <w:gridCol w:w="1843"/>
        <w:gridCol w:w="3544"/>
      </w:tblGrid>
      <w:tr w:rsidR="001879ED" w:rsidTr="00AE4530">
        <w:tc>
          <w:tcPr>
            <w:tcW w:w="817" w:type="dxa"/>
            <w:vAlign w:val="center"/>
          </w:tcPr>
          <w:p w:rsidR="001879ED" w:rsidRPr="00E97D3E" w:rsidRDefault="001879ED" w:rsidP="002F3764">
            <w:pPr>
              <w:pStyle w:val="a3"/>
              <w:ind w:firstLine="0"/>
              <w:jc w:val="center"/>
              <w:rPr>
                <w:b/>
                <w:sz w:val="20"/>
              </w:rPr>
            </w:pPr>
            <w:r>
              <w:rPr>
                <w:b/>
                <w:sz w:val="24"/>
                <w:szCs w:val="24"/>
              </w:rPr>
              <w:t xml:space="preserve">          </w:t>
            </w:r>
            <w:r w:rsidRPr="00E97D3E">
              <w:rPr>
                <w:b/>
                <w:sz w:val="20"/>
              </w:rPr>
              <w:t>время (</w:t>
            </w:r>
            <w:proofErr w:type="spellStart"/>
            <w:r w:rsidRPr="00E97D3E">
              <w:rPr>
                <w:b/>
                <w:sz w:val="20"/>
              </w:rPr>
              <w:t>Мск</w:t>
            </w:r>
            <w:proofErr w:type="spellEnd"/>
            <w:r w:rsidRPr="00E97D3E">
              <w:rPr>
                <w:b/>
                <w:sz w:val="20"/>
              </w:rPr>
              <w:t xml:space="preserve">) № </w:t>
            </w:r>
            <w:proofErr w:type="spellStart"/>
            <w:proofErr w:type="gramStart"/>
            <w:r w:rsidRPr="00E97D3E">
              <w:rPr>
                <w:b/>
                <w:sz w:val="20"/>
              </w:rPr>
              <w:t>п</w:t>
            </w:r>
            <w:proofErr w:type="spellEnd"/>
            <w:proofErr w:type="gramEnd"/>
            <w:r w:rsidRPr="00E97D3E">
              <w:rPr>
                <w:b/>
                <w:sz w:val="20"/>
              </w:rPr>
              <w:t>/</w:t>
            </w:r>
            <w:proofErr w:type="spellStart"/>
            <w:r w:rsidRPr="00E97D3E">
              <w:rPr>
                <w:b/>
                <w:sz w:val="20"/>
              </w:rPr>
              <w:t>п</w:t>
            </w:r>
            <w:proofErr w:type="spellEnd"/>
          </w:p>
        </w:tc>
        <w:tc>
          <w:tcPr>
            <w:tcW w:w="2552"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701"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4961"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1222CD">
              <w:rPr>
                <w:b/>
                <w:sz w:val="20"/>
              </w:rPr>
              <w:t>4</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AE4530">
        <w:trPr>
          <w:trHeight w:val="344"/>
        </w:trPr>
        <w:tc>
          <w:tcPr>
            <w:tcW w:w="817" w:type="dxa"/>
          </w:tcPr>
          <w:p w:rsidR="001879ED" w:rsidRPr="005366CD" w:rsidRDefault="001879ED" w:rsidP="002F3764">
            <w:pPr>
              <w:pStyle w:val="a3"/>
              <w:ind w:firstLine="0"/>
              <w:jc w:val="center"/>
              <w:rPr>
                <w:sz w:val="20"/>
              </w:rPr>
            </w:pPr>
            <w:r w:rsidRPr="005366CD">
              <w:rPr>
                <w:sz w:val="20"/>
              </w:rPr>
              <w:t>1</w:t>
            </w:r>
          </w:p>
        </w:tc>
        <w:tc>
          <w:tcPr>
            <w:tcW w:w="2552" w:type="dxa"/>
          </w:tcPr>
          <w:p w:rsidR="001879ED" w:rsidRPr="005366CD" w:rsidRDefault="001879ED" w:rsidP="002F3764">
            <w:pPr>
              <w:pStyle w:val="a3"/>
              <w:ind w:firstLine="0"/>
              <w:jc w:val="center"/>
              <w:rPr>
                <w:sz w:val="24"/>
                <w:szCs w:val="24"/>
              </w:rPr>
            </w:pPr>
            <w:r w:rsidRPr="005366CD">
              <w:rPr>
                <w:sz w:val="24"/>
                <w:szCs w:val="24"/>
              </w:rPr>
              <w:t>2</w:t>
            </w:r>
          </w:p>
        </w:tc>
        <w:tc>
          <w:tcPr>
            <w:tcW w:w="1701" w:type="dxa"/>
          </w:tcPr>
          <w:p w:rsidR="001879ED" w:rsidRPr="005366CD" w:rsidRDefault="001879ED" w:rsidP="002F3764">
            <w:pPr>
              <w:pStyle w:val="a3"/>
              <w:ind w:left="-66" w:firstLine="0"/>
              <w:jc w:val="center"/>
              <w:rPr>
                <w:sz w:val="20"/>
              </w:rPr>
            </w:pPr>
            <w:r w:rsidRPr="005366CD">
              <w:rPr>
                <w:sz w:val="20"/>
              </w:rPr>
              <w:t>3</w:t>
            </w:r>
          </w:p>
        </w:tc>
        <w:tc>
          <w:tcPr>
            <w:tcW w:w="4961"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3C0AB3" w:rsidRPr="00B27A37" w:rsidTr="00AE4530">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t>1.</w:t>
            </w:r>
          </w:p>
        </w:tc>
        <w:tc>
          <w:tcPr>
            <w:tcW w:w="2552" w:type="dxa"/>
          </w:tcPr>
          <w:p w:rsidR="00FB329C" w:rsidRPr="00FB4987" w:rsidRDefault="00FB329C" w:rsidP="00FB329C">
            <w:pPr>
              <w:pStyle w:val="ac"/>
              <w:ind w:left="34" w:firstLine="326"/>
              <w:jc w:val="both"/>
              <w:rPr>
                <w:bCs/>
              </w:rPr>
            </w:pPr>
            <w:r w:rsidRPr="00FB4987">
              <w:rPr>
                <w:bCs/>
              </w:rPr>
              <w:t xml:space="preserve">Проект областного закона </w:t>
            </w:r>
            <w:r w:rsidRPr="00FB4987">
              <w:t xml:space="preserve">№ </w:t>
            </w:r>
            <w:r w:rsidRPr="00A5745B">
              <w:rPr>
                <w:b/>
              </w:rPr>
              <w:t>пз8/64</w:t>
            </w:r>
            <w:r>
              <w:t xml:space="preserve">                     </w:t>
            </w:r>
            <w:r w:rsidRPr="00FB4987">
              <w:rPr>
                <w:bCs/>
              </w:rPr>
              <w:t xml:space="preserve">«О внесении изменений в областной закон </w:t>
            </w:r>
            <w:r>
              <w:rPr>
                <w:bCs/>
              </w:rPr>
              <w:t xml:space="preserve">                 </w:t>
            </w:r>
            <w:r w:rsidRPr="00FB4987">
              <w:rPr>
                <w:bCs/>
              </w:rPr>
              <w:t>«Об областном бюджете на 2024 год и на плановый период 2025</w:t>
            </w:r>
            <w:r>
              <w:rPr>
                <w:bCs/>
              </w:rPr>
              <w:t xml:space="preserve"> </w:t>
            </w:r>
            <w:r w:rsidRPr="00FB4987">
              <w:rPr>
                <w:bCs/>
              </w:rPr>
              <w:t xml:space="preserve">и 2026 годов» </w:t>
            </w:r>
            <w:r w:rsidRPr="00FB4987">
              <w:rPr>
                <w:b/>
                <w:bCs/>
              </w:rPr>
              <w:t>(первое и второе чтение)</w:t>
            </w:r>
          </w:p>
          <w:p w:rsidR="00765F99" w:rsidRPr="005366CD" w:rsidRDefault="00765F99" w:rsidP="00D639D1">
            <w:pPr>
              <w:pStyle w:val="a8"/>
              <w:ind w:firstLine="426"/>
              <w:jc w:val="both"/>
            </w:pPr>
          </w:p>
        </w:tc>
        <w:tc>
          <w:tcPr>
            <w:tcW w:w="1701" w:type="dxa"/>
          </w:tcPr>
          <w:p w:rsidR="00757A5A" w:rsidRDefault="00FB329C" w:rsidP="00413FD7">
            <w:pPr>
              <w:shd w:val="clear" w:color="auto" w:fill="FFFFFF"/>
              <w:spacing w:line="253" w:lineRule="atLeast"/>
            </w:pPr>
            <w:proofErr w:type="spellStart"/>
            <w:proofErr w:type="gramStart"/>
            <w:r>
              <w:t>Правительс-тво</w:t>
            </w:r>
            <w:proofErr w:type="spellEnd"/>
            <w:proofErr w:type="gramEnd"/>
            <w:r>
              <w:t xml:space="preserve"> </w:t>
            </w:r>
            <w:proofErr w:type="spellStart"/>
            <w:r>
              <w:t>Архангель</w:t>
            </w:r>
            <w:r w:rsidR="001222CD">
              <w:t>-</w:t>
            </w:r>
            <w:r>
              <w:t>ской</w:t>
            </w:r>
            <w:proofErr w:type="spellEnd"/>
            <w:r>
              <w:t xml:space="preserve"> области</w:t>
            </w:r>
            <w:r w:rsidR="00413FD7">
              <w:t>/</w:t>
            </w:r>
          </w:p>
          <w:p w:rsidR="00413FD7" w:rsidRDefault="001222CD" w:rsidP="00413FD7">
            <w:pPr>
              <w:shd w:val="clear" w:color="auto" w:fill="FFFFFF"/>
              <w:spacing w:line="253" w:lineRule="atLeast"/>
            </w:pPr>
            <w:r>
              <w:t xml:space="preserve">Усачева Е.Ю., </w:t>
            </w:r>
          </w:p>
          <w:p w:rsidR="001222CD" w:rsidRPr="003C0AB3" w:rsidRDefault="001222CD" w:rsidP="00413FD7">
            <w:pPr>
              <w:shd w:val="clear" w:color="auto" w:fill="FFFFFF"/>
              <w:spacing w:line="253" w:lineRule="atLeast"/>
            </w:pPr>
            <w:r>
              <w:t>Дементьев А.А.</w:t>
            </w:r>
          </w:p>
        </w:tc>
        <w:tc>
          <w:tcPr>
            <w:tcW w:w="4961" w:type="dxa"/>
          </w:tcPr>
          <w:p w:rsidR="000952B2" w:rsidRDefault="000952B2" w:rsidP="000952B2">
            <w:pPr>
              <w:pStyle w:val="ac"/>
              <w:ind w:left="0" w:firstLine="175"/>
              <w:jc w:val="both"/>
            </w:pPr>
            <w:r>
              <w:t xml:space="preserve">В вышеуказанном проекте областного закона предлагается                             внести изменения в основные характеристики областного бюджета на 2024 год: </w:t>
            </w:r>
          </w:p>
          <w:p w:rsidR="000952B2" w:rsidRDefault="000952B2" w:rsidP="000952B2">
            <w:pPr>
              <w:pStyle w:val="ac"/>
              <w:ind w:left="0" w:firstLine="175"/>
              <w:jc w:val="both"/>
            </w:pPr>
            <w:r>
              <w:t xml:space="preserve">- увеличить доходную часть </w:t>
            </w:r>
            <w:proofErr w:type="gramStart"/>
            <w:r>
              <w:t>областного</w:t>
            </w:r>
            <w:proofErr w:type="gramEnd"/>
            <w:r>
              <w:t xml:space="preserve"> бюджета в целом на сумму                                   +178,5 млн. рублей за счет:</w:t>
            </w:r>
          </w:p>
          <w:p w:rsidR="000952B2" w:rsidRDefault="000952B2" w:rsidP="00D17832">
            <w:pPr>
              <w:pStyle w:val="ac"/>
              <w:ind w:left="33" w:firstLine="284"/>
              <w:jc w:val="both"/>
            </w:pPr>
            <w:r>
              <w:t>безвозмездных поступлений от ПАО «Газпром» в сумме +300,0 млн. рублей;</w:t>
            </w:r>
          </w:p>
          <w:p w:rsidR="000952B2" w:rsidRDefault="00D17832" w:rsidP="00D17832">
            <w:pPr>
              <w:pStyle w:val="ac"/>
              <w:ind w:left="33" w:firstLine="284"/>
              <w:jc w:val="both"/>
            </w:pPr>
            <w:r>
              <w:t xml:space="preserve">- </w:t>
            </w:r>
            <w:r w:rsidR="000952B2">
              <w:t xml:space="preserve">уменьшения дотации на выравнивание бюджетной обеспеченности в сумме </w:t>
            </w:r>
            <w:r>
              <w:t xml:space="preserve">                             </w:t>
            </w:r>
            <w:r w:rsidR="000952B2">
              <w:t>-5,9 млн. рублей;</w:t>
            </w:r>
          </w:p>
          <w:p w:rsidR="000952B2" w:rsidRDefault="00D17832" w:rsidP="00D17832">
            <w:pPr>
              <w:pStyle w:val="ac"/>
              <w:ind w:left="33" w:firstLine="284"/>
              <w:jc w:val="both"/>
            </w:pPr>
            <w:proofErr w:type="gramStart"/>
            <w:r>
              <w:t xml:space="preserve">- </w:t>
            </w:r>
            <w:r w:rsidR="000952B2">
              <w:t xml:space="preserve">возврата остатков средств от публично-правовой компании «Фонд развития территории» на 1 января 2024 года в общей сумме -115,6 млн. рублей, в том числе: возврат в Фонд неиспользованных средств на переселение граждан из аварийного жилищного фонда в сумме -115,4 млн. рублей; возврат в Фонд неиспользованных средств на меры социальной поддержки гражданам из г. Херсона в сумме </w:t>
            </w:r>
            <w:r w:rsidR="00BB7B31">
              <w:t xml:space="preserve">                                  </w:t>
            </w:r>
            <w:r w:rsidR="000952B2">
              <w:t>-0,2 млн. рублей;</w:t>
            </w:r>
            <w:proofErr w:type="gramEnd"/>
            <w:r w:rsidR="000952B2">
              <w:t xml:space="preserve"> возврат </w:t>
            </w:r>
            <w:proofErr w:type="gramStart"/>
            <w:r w:rsidR="000952B2">
              <w:t xml:space="preserve">в областной бюджет неиспользованной субсидии </w:t>
            </w:r>
            <w:r w:rsidR="00BB7B31">
              <w:t xml:space="preserve">                        </w:t>
            </w:r>
            <w:r w:rsidR="000952B2">
              <w:t>от муниципальных образований на переселение граждан из аварийного жилищного фонда в сумме</w:t>
            </w:r>
            <w:proofErr w:type="gramEnd"/>
            <w:r w:rsidR="000952B2">
              <w:t xml:space="preserve"> +0,04 млн. </w:t>
            </w:r>
            <w:r w:rsidR="000952B2">
              <w:lastRenderedPageBreak/>
              <w:t>рублей.</w:t>
            </w:r>
          </w:p>
          <w:p w:rsidR="000952B2" w:rsidRDefault="000952B2" w:rsidP="00D17832">
            <w:pPr>
              <w:pStyle w:val="ac"/>
              <w:ind w:left="33" w:firstLine="284"/>
              <w:jc w:val="both"/>
            </w:pPr>
            <w:r>
              <w:t xml:space="preserve">Кроме того, законопроектом предлагается уточнить прогноз поступления налоговых источников без изменения общего объема прогнозируемых налоговых и неналоговых доходов областного бюджета на 2024 год, </w:t>
            </w:r>
            <w:r w:rsidR="00BB7B31">
              <w:t xml:space="preserve">                    </w:t>
            </w:r>
            <w:r>
              <w:t xml:space="preserve">в том числе уменьшить на -7,8 млн. рублей налог на прибыль организаций                           и увеличить на +7,8 млн. рублей акцизы </w:t>
            </w:r>
            <w:r w:rsidR="00BB7B31">
              <w:t xml:space="preserve">                       </w:t>
            </w:r>
            <w:r>
              <w:t xml:space="preserve">на алкогольную продукцию.  </w:t>
            </w:r>
          </w:p>
          <w:p w:rsidR="000952B2" w:rsidRDefault="000952B2" w:rsidP="00D17832">
            <w:pPr>
              <w:pStyle w:val="ac"/>
              <w:ind w:left="33" w:firstLine="284"/>
              <w:jc w:val="both"/>
            </w:pPr>
            <w:r>
              <w:t xml:space="preserve">- увеличить расходную часть </w:t>
            </w:r>
            <w:proofErr w:type="gramStart"/>
            <w:r>
              <w:t>областного</w:t>
            </w:r>
            <w:proofErr w:type="gramEnd"/>
            <w:r>
              <w:t xml:space="preserve"> бюджета в целом  на  сумму +1 006,5 млн. рублей за счет:</w:t>
            </w:r>
          </w:p>
          <w:p w:rsidR="000952B2" w:rsidRDefault="00BB7B31" w:rsidP="00D17832">
            <w:pPr>
              <w:pStyle w:val="ac"/>
              <w:ind w:left="33" w:firstLine="284"/>
              <w:jc w:val="both"/>
            </w:pPr>
            <w:r>
              <w:t xml:space="preserve"> </w:t>
            </w:r>
            <w:r w:rsidR="000952B2">
              <w:t xml:space="preserve">прочих безвозмездные поступления </w:t>
            </w:r>
            <w:r>
              <w:t xml:space="preserve">                       </w:t>
            </w:r>
            <w:r w:rsidR="000952B2">
              <w:t xml:space="preserve">от ПАО «Газпром» в сумме +300,0 млн. рублей министерству строительства </w:t>
            </w:r>
            <w:r>
              <w:t xml:space="preserve">                          </w:t>
            </w:r>
            <w:r w:rsidR="000952B2">
              <w:t xml:space="preserve">и архитектуры Архангельской области </w:t>
            </w:r>
            <w:r>
              <w:t xml:space="preserve">                     </w:t>
            </w:r>
            <w:r w:rsidR="000952B2">
              <w:t xml:space="preserve">на строительство канализационных очистных сооружений в п. Приводино </w:t>
            </w:r>
            <w:proofErr w:type="spellStart"/>
            <w:r w:rsidR="000952B2">
              <w:t>Котласского</w:t>
            </w:r>
            <w:proofErr w:type="spellEnd"/>
            <w:r w:rsidR="000952B2">
              <w:t xml:space="preserve"> района;</w:t>
            </w:r>
          </w:p>
          <w:p w:rsidR="000952B2" w:rsidRDefault="000952B2" w:rsidP="00D17832">
            <w:pPr>
              <w:pStyle w:val="ac"/>
              <w:ind w:left="33" w:firstLine="284"/>
              <w:jc w:val="both"/>
            </w:pPr>
            <w:r>
              <w:t xml:space="preserve">остатков средств от публично-правовой компании «Фонд развития территории» </w:t>
            </w:r>
            <w:r w:rsidR="00BB7B31">
              <w:t xml:space="preserve">                                </w:t>
            </w:r>
            <w:r>
              <w:t xml:space="preserve">на 1 января 2024 года в общей сумме </w:t>
            </w:r>
            <w:r w:rsidR="00BB7B31">
              <w:t xml:space="preserve">                 </w:t>
            </w:r>
            <w:r>
              <w:t xml:space="preserve">+789,4 млн. рублей, в том числе: министерству строительства и архитектуры Архангельской области на переселение граждан из аварийного жилищного фонда </w:t>
            </w:r>
            <w:r w:rsidR="00906206">
              <w:t xml:space="preserve">                        </w:t>
            </w:r>
            <w:r>
              <w:t xml:space="preserve">в сумме +786,3 млн. рублей; министерству труда, занятости и социального развития Архангельской области на меры социальной поддержки гражданам из </w:t>
            </w:r>
            <w:proofErr w:type="gramStart"/>
            <w:r>
              <w:t>г</w:t>
            </w:r>
            <w:proofErr w:type="gramEnd"/>
            <w:r>
              <w:t>. Херсона в сумме +3,1 млн. рублей;</w:t>
            </w:r>
          </w:p>
          <w:p w:rsidR="000952B2" w:rsidRDefault="000952B2" w:rsidP="00D17832">
            <w:pPr>
              <w:pStyle w:val="ac"/>
              <w:ind w:left="33" w:firstLine="284"/>
              <w:jc w:val="both"/>
            </w:pPr>
            <w:r>
              <w:t xml:space="preserve">переноса привлечения бюджетного кредита из федерального бюджета на инфраструктурные проекты в сумме </w:t>
            </w:r>
            <w:r w:rsidR="00906206">
              <w:t xml:space="preserve">                       </w:t>
            </w:r>
            <w:r>
              <w:t xml:space="preserve">-82,9 млн. рублей с 2024 года на 2025 год </w:t>
            </w:r>
            <w:r>
              <w:lastRenderedPageBreak/>
              <w:t xml:space="preserve">предназначенного министерству транспорта Архангельской области на строительство автомобильной дороги по ул. </w:t>
            </w:r>
            <w:proofErr w:type="spellStart"/>
            <w:r>
              <w:t>Карпогорской</w:t>
            </w:r>
            <w:proofErr w:type="spellEnd"/>
            <w:r>
              <w:t xml:space="preserve"> от ул. Октябрят до просп. Московский.</w:t>
            </w:r>
          </w:p>
          <w:p w:rsidR="000952B2" w:rsidRDefault="000952B2" w:rsidP="00D17832">
            <w:pPr>
              <w:pStyle w:val="ac"/>
              <w:ind w:left="33" w:firstLine="284"/>
              <w:jc w:val="both"/>
            </w:pPr>
            <w:r>
              <w:tab/>
              <w:t xml:space="preserve">Дефицит областного бюджета </w:t>
            </w:r>
            <w:r w:rsidR="00906206">
              <w:t xml:space="preserve">                          </w:t>
            </w:r>
            <w:r>
              <w:t xml:space="preserve">на 2024 год предлагается увеличить </w:t>
            </w:r>
            <w:r w:rsidR="00906206">
              <w:t xml:space="preserve">                          </w:t>
            </w:r>
            <w:r>
              <w:t xml:space="preserve">на 828,1 млн. рублей, в результате чего он составит -15 634,8 млн. рублей или -16,9 % </w:t>
            </w:r>
            <w:r w:rsidR="00906206">
              <w:t xml:space="preserve">                  </w:t>
            </w:r>
            <w:r>
              <w:t xml:space="preserve">к собственным налоговым и неналоговым доходам областного бюджета. Источниками финансирования дефицита является привлечение кредитов кредитных организаций на 577,5 млн. рублей, погашение бюджетных кредитов на 469,5 млн. рублей, уменьшение объема привлечения бюджетного кредита на инфраструктурные проекты на 82,9 млн. рублей и снижение остатков средств на счетах бюджетов </w:t>
            </w:r>
            <w:r w:rsidR="00906206">
              <w:t xml:space="preserve">                           </w:t>
            </w:r>
            <w:r>
              <w:t>на 802,9 млн. рублей.</w:t>
            </w:r>
          </w:p>
          <w:p w:rsidR="000952B2" w:rsidRDefault="000952B2" w:rsidP="00D17832">
            <w:pPr>
              <w:pStyle w:val="ac"/>
              <w:ind w:left="33" w:firstLine="284"/>
              <w:jc w:val="both"/>
            </w:pPr>
            <w:r>
              <w:t xml:space="preserve">В результате данных изменений доходы областного бюджета на 2024 год в целом составят 129 200,7 млн. рублей </w:t>
            </w:r>
            <w:r w:rsidR="00F52361">
              <w:t xml:space="preserve">                                   </w:t>
            </w:r>
            <w:r>
              <w:t xml:space="preserve">(с увеличением на +178,5 млн. рублей), расходы областного бюджета составят                                       144 835,4 млн. рублей (с увеличением </w:t>
            </w:r>
            <w:r w:rsidR="00F52361">
              <w:t xml:space="preserve">                             </w:t>
            </w:r>
            <w:r>
              <w:t>на +1 006,5 млн. рублей).</w:t>
            </w:r>
          </w:p>
          <w:p w:rsidR="000952B2" w:rsidRDefault="000952B2" w:rsidP="00D17832">
            <w:pPr>
              <w:pStyle w:val="ac"/>
              <w:ind w:left="33" w:firstLine="284"/>
              <w:jc w:val="both"/>
            </w:pPr>
            <w:proofErr w:type="gramStart"/>
            <w:r>
              <w:t xml:space="preserve">Законопроектом предлагается на 2025 год увеличить расходную часть областного бюджета на сумму +82,9 млн. рублей за счет переноса привлечения бюджетного кредита из федерального бюджета на инфраструктурные проекты          с 2024 года на 2025 год предназначенного министерству транспорта Архангельской области на строительство автомобильной дороги по                    ул. </w:t>
            </w:r>
            <w:proofErr w:type="spellStart"/>
            <w:r>
              <w:t>Карпогорской</w:t>
            </w:r>
            <w:proofErr w:type="spellEnd"/>
            <w:r>
              <w:t xml:space="preserve"> от ул. Октябрят до просп. </w:t>
            </w:r>
            <w:r>
              <w:lastRenderedPageBreak/>
              <w:t>Московский.</w:t>
            </w:r>
            <w:proofErr w:type="gramEnd"/>
          </w:p>
          <w:p w:rsidR="000952B2" w:rsidRDefault="000952B2" w:rsidP="00D17832">
            <w:pPr>
              <w:pStyle w:val="ac"/>
              <w:ind w:left="33" w:firstLine="284"/>
              <w:jc w:val="both"/>
            </w:pPr>
            <w:r>
              <w:t xml:space="preserve">Также законопроектом в 2025 году осуществляется перенос бюджетных ассигнований в связи с изменением программы государственных внутренних заимствований Архангельской области. Увеличиваются условно утверждаемые расходы на сумму +2,1 млн. рублей за счет уменьшения расходов по министерству финансов Архангельской области </w:t>
            </w:r>
            <w:r w:rsidR="00F52361">
              <w:t xml:space="preserve">                                </w:t>
            </w:r>
            <w:r>
              <w:t xml:space="preserve">на исполнение судебных решений на </w:t>
            </w:r>
            <w:r w:rsidR="00F52361">
              <w:t xml:space="preserve">                     </w:t>
            </w:r>
            <w:r>
              <w:t>сумму -2,1 млн. рублей.</w:t>
            </w:r>
          </w:p>
          <w:p w:rsidR="000952B2" w:rsidRDefault="000952B2" w:rsidP="00D17832">
            <w:pPr>
              <w:pStyle w:val="ac"/>
              <w:ind w:left="33" w:firstLine="284"/>
              <w:jc w:val="both"/>
            </w:pPr>
            <w:r>
              <w:t>В результате данных изменений доходы областного бюджета на</w:t>
            </w:r>
            <w:r w:rsidR="00F52361">
              <w:t xml:space="preserve"> </w:t>
            </w:r>
            <w:r>
              <w:t xml:space="preserve">2025 год не </w:t>
            </w:r>
            <w:proofErr w:type="gramStart"/>
            <w:r>
              <w:t>изменятся и составят</w:t>
            </w:r>
            <w:proofErr w:type="gramEnd"/>
            <w:r>
              <w:t xml:space="preserve"> 124 758,7 млн. рублей, расходы областного бюджета составят </w:t>
            </w:r>
            <w:r w:rsidR="00F52361">
              <w:t xml:space="preserve">                      </w:t>
            </w:r>
            <w:r>
              <w:t xml:space="preserve">137 791,7 млн. рублей (с увеличением </w:t>
            </w:r>
            <w:r w:rsidR="00F52361">
              <w:t xml:space="preserve">                         </w:t>
            </w:r>
            <w:r>
              <w:t xml:space="preserve">на +82,9 млн. рублей). </w:t>
            </w:r>
          </w:p>
          <w:p w:rsidR="000952B2" w:rsidRDefault="000952B2" w:rsidP="00D17832">
            <w:pPr>
              <w:pStyle w:val="ac"/>
              <w:ind w:left="33" w:firstLine="284"/>
              <w:jc w:val="both"/>
            </w:pPr>
            <w:r>
              <w:t xml:space="preserve">Дефицит областного бюджета на 2025 год увеличится на 82,9 млн. рублей, в результате чего он составит -13 033,1 млн. рублей или            -13,6 % к собственным налоговым </w:t>
            </w:r>
            <w:r w:rsidR="00F52361">
              <w:t xml:space="preserve">                                           </w:t>
            </w:r>
            <w:r>
              <w:t>и неналоговым доходам областного бюджета. Источниками финансирования дефицита является привлечение кредитов кредитных организаций на 577,5 млн. рублей, погашение бюджетных кредитов на 577,5 млн. рублей</w:t>
            </w:r>
            <w:r w:rsidR="00F52361">
              <w:t xml:space="preserve">                     </w:t>
            </w:r>
            <w:r>
              <w:t xml:space="preserve"> и увеличение объема привлечения бюджетного кредита на инфраструктурные проекты на 82,9 млн. рублей. </w:t>
            </w:r>
          </w:p>
          <w:p w:rsidR="000952B2" w:rsidRDefault="000952B2" w:rsidP="00D17832">
            <w:pPr>
              <w:pStyle w:val="ac"/>
              <w:ind w:left="33" w:firstLine="284"/>
              <w:jc w:val="both"/>
            </w:pPr>
            <w:proofErr w:type="gramStart"/>
            <w:r>
              <w:t xml:space="preserve">Законопроектом предлагается на 2026 год уменьшить расходную часть областного бюджета на общую сумму -401,9 млн. рублей, в том числе: министерству природных ресурсов и лесопромышленного комплекса Архангельской области </w:t>
            </w:r>
            <w:r w:rsidR="00F52361">
              <w:t xml:space="preserve">                                       </w:t>
            </w:r>
            <w:r>
              <w:lastRenderedPageBreak/>
              <w:t>по субсидии на возмещение недополученных доходов  в результате госрегулирования тарифов в области обращения ТКО в сумме                                -381,9 млн. рублей; условно утверждаемые расходы в сумме -20,0 млн. рублей.</w:t>
            </w:r>
            <w:proofErr w:type="gramEnd"/>
          </w:p>
          <w:p w:rsidR="000952B2" w:rsidRDefault="000952B2" w:rsidP="00D17832">
            <w:pPr>
              <w:pStyle w:val="ac"/>
              <w:ind w:left="33" w:firstLine="284"/>
              <w:jc w:val="both"/>
            </w:pPr>
            <w:r>
              <w:t xml:space="preserve">В результате данных изменений доходы областного бюджета на 2026 год </w:t>
            </w:r>
            <w:r w:rsidR="000B0506">
              <w:t xml:space="preserve">                                 </w:t>
            </w:r>
            <w:r>
              <w:t xml:space="preserve">не </w:t>
            </w:r>
            <w:proofErr w:type="gramStart"/>
            <w:r>
              <w:t>изменятся и составят</w:t>
            </w:r>
            <w:proofErr w:type="gramEnd"/>
            <w:r>
              <w:t xml:space="preserve"> 129 432,67 млн. рублей, расходы областного бюджета составят 135 883,0 млн. рублей </w:t>
            </w:r>
            <w:r w:rsidR="000B0506">
              <w:t xml:space="preserve">                                   </w:t>
            </w:r>
            <w:r>
              <w:t>(с уменьшением на</w:t>
            </w:r>
            <w:r w:rsidR="000B0506">
              <w:t xml:space="preserve"> </w:t>
            </w:r>
            <w:r>
              <w:t xml:space="preserve">-401,9 млн. рублей). </w:t>
            </w:r>
          </w:p>
          <w:p w:rsidR="000952B2" w:rsidRDefault="000952B2" w:rsidP="00D17832">
            <w:pPr>
              <w:pStyle w:val="ac"/>
              <w:ind w:left="33" w:firstLine="284"/>
              <w:jc w:val="both"/>
            </w:pPr>
            <w:r>
              <w:t xml:space="preserve">Дефицит областного бюджета на 2026 год уменьшится на 401,9 млн. рублей, </w:t>
            </w:r>
            <w:r w:rsidR="000B0506">
              <w:t xml:space="preserve">                               </w:t>
            </w:r>
            <w:r>
              <w:t xml:space="preserve">в результате чего он составит -6 450,5 млн. рублей или  -6,4 % к собственным налоговым и неналоговым доходам областного бюджета. Источниками финансирования дефицита является привлечение кредитов кредитных организаций на 169,5 млн. рублей </w:t>
            </w:r>
            <w:r w:rsidR="000B0506">
              <w:t xml:space="preserve">                                  </w:t>
            </w:r>
            <w:r>
              <w:t xml:space="preserve">и погашение бюджетных кредитов </w:t>
            </w:r>
            <w:r w:rsidR="000B0506">
              <w:t xml:space="preserve">                                 </w:t>
            </w:r>
            <w:r>
              <w:t xml:space="preserve">на 571,5 млн. рублей. </w:t>
            </w:r>
          </w:p>
          <w:p w:rsidR="000952B2" w:rsidRDefault="000952B2" w:rsidP="00D17832">
            <w:pPr>
              <w:pStyle w:val="ac"/>
              <w:ind w:left="33" w:firstLine="284"/>
              <w:jc w:val="both"/>
            </w:pPr>
            <w:r>
              <w:t>Законопроектом предлагается уточнить объем бюджетных ассигнований на исполнение публичных нормативных обязатель</w:t>
            </w:r>
            <w:proofErr w:type="gramStart"/>
            <w:r>
              <w:t>ств в св</w:t>
            </w:r>
            <w:proofErr w:type="gramEnd"/>
            <w:r>
              <w:t xml:space="preserve">язи технической ошибкой при формировании и утверждении поправок ко 2 чтению проекта областного бюджета на 2024 год и на плановый период 2025 и 2026 годов. Предлагается увеличить объем публичных нормативных обязательств на                   2024 год на сумму +76,2 млн. рублей, </w:t>
            </w:r>
            <w:r w:rsidR="006A6E18">
              <w:t xml:space="preserve">                       </w:t>
            </w:r>
            <w:r>
              <w:t>в результате чего он составит</w:t>
            </w:r>
            <w:r w:rsidR="000B0506">
              <w:t xml:space="preserve"> </w:t>
            </w:r>
            <w:r>
              <w:t xml:space="preserve">6 300,6 млн. рублей; на 2025 год увеличить объем публичных нормативных обязательств на сумму +56,1 млн. рублей, в результате чего он составит 6 171,4 млн. рублей, на 2026 год </w:t>
            </w:r>
            <w:r>
              <w:lastRenderedPageBreak/>
              <w:t>объем публичных нормативных обязательств увеличить на +56,2 млн. рублей, в результате чего он составит 5 833,0 млн. рублей.</w:t>
            </w:r>
          </w:p>
          <w:p w:rsidR="000952B2" w:rsidRDefault="000952B2" w:rsidP="00D17832">
            <w:pPr>
              <w:pStyle w:val="ac"/>
              <w:ind w:left="33" w:firstLine="284"/>
              <w:jc w:val="both"/>
            </w:pPr>
            <w:r>
              <w:tab/>
              <w:t xml:space="preserve">Кроме того, законопроектом предусматривается исключение пункта                    8 статьи 9 закона об областном бюджете </w:t>
            </w:r>
            <w:r w:rsidR="00896043">
              <w:t xml:space="preserve">                   </w:t>
            </w:r>
            <w:r>
              <w:t xml:space="preserve">(о распределении Правительством Архангельской области дотаций на поддержку мер по обеспечению сбалансированности местных бюджетов) </w:t>
            </w:r>
            <w:r w:rsidR="008208EA">
              <w:t xml:space="preserve">                  </w:t>
            </w:r>
            <w:r>
              <w:t xml:space="preserve">в связи с тем, что указанные дотации распределены таблицей № 2 приложения </w:t>
            </w:r>
            <w:r w:rsidR="008208EA">
              <w:t xml:space="preserve">                </w:t>
            </w:r>
            <w:r>
              <w:t>№ 11 к закону об областном бюджете.</w:t>
            </w:r>
          </w:p>
          <w:p w:rsidR="000952B2" w:rsidRDefault="000952B2" w:rsidP="00D17832">
            <w:pPr>
              <w:pStyle w:val="ac"/>
              <w:ind w:left="33" w:firstLine="284"/>
              <w:jc w:val="both"/>
            </w:pPr>
            <w:proofErr w:type="gramStart"/>
            <w:r>
              <w:t>В связи с тем, что в 2023 году нарушены условия соглашений о предоставлении бюджетных кредитов из федерального бюджета, предлагается предусмотреть расходы на их частичное досрочное погашение в сумме 577,5 млн. рублей ежегодно в 2024 – 2026 годах, что составляет 5 % реструктурированной суммы бюджетных кредитов.</w:t>
            </w:r>
            <w:proofErr w:type="gramEnd"/>
            <w:r>
              <w:t xml:space="preserve"> В качестве источника предлагается установить привлечение кредитов </w:t>
            </w:r>
            <w:r w:rsidR="008208EA">
              <w:t xml:space="preserve">                          </w:t>
            </w:r>
            <w:r>
              <w:t>от кредитных организаций.</w:t>
            </w:r>
          </w:p>
          <w:p w:rsidR="000952B2" w:rsidRDefault="000952B2" w:rsidP="00D17832">
            <w:pPr>
              <w:pStyle w:val="ac"/>
              <w:ind w:left="33" w:firstLine="284"/>
              <w:jc w:val="both"/>
            </w:pPr>
            <w:r>
              <w:t>По итогам 2023 года параметры фактически сложившегося государственного долга Архангельской области на 1 января 2024 года отличаются от прогнозных параметров, применявшихся для расчетов проекта бюджета на 2024 год и на плановый период 2025 и 2026 годов. Фактически государственный долг Архангельской области на 1 января 2024 года сложился выше запланированного на 294,0 млн. рублей и составил 67 648,0 млн. рублей.</w:t>
            </w:r>
          </w:p>
          <w:p w:rsidR="000952B2" w:rsidRDefault="000952B2" w:rsidP="00D17832">
            <w:pPr>
              <w:pStyle w:val="ac"/>
              <w:ind w:left="33" w:firstLine="284"/>
              <w:jc w:val="both"/>
            </w:pPr>
            <w:r>
              <w:t xml:space="preserve">Законопроектом предусмотрены </w:t>
            </w:r>
            <w:r>
              <w:lastRenderedPageBreak/>
              <w:t xml:space="preserve">корректировки показателей верхнего предела государственного долга Архангельской области в сторону увеличения: </w:t>
            </w:r>
          </w:p>
          <w:p w:rsidR="000952B2" w:rsidRDefault="000952B2" w:rsidP="00D17832">
            <w:pPr>
              <w:pStyle w:val="ac"/>
              <w:ind w:left="33" w:firstLine="284"/>
              <w:jc w:val="both"/>
            </w:pPr>
            <w:r>
              <w:t>на 1 января 2025 года на +319,1 млн. рублей, составит</w:t>
            </w:r>
            <w:r w:rsidR="008208EA">
              <w:t xml:space="preserve"> </w:t>
            </w:r>
            <w:r>
              <w:t xml:space="preserve">82 408,7 млн. рублей; </w:t>
            </w:r>
          </w:p>
          <w:p w:rsidR="000952B2" w:rsidRDefault="000952B2" w:rsidP="00D17832">
            <w:pPr>
              <w:pStyle w:val="ac"/>
              <w:ind w:left="33" w:firstLine="284"/>
              <w:jc w:val="both"/>
            </w:pPr>
            <w:r>
              <w:t xml:space="preserve">на 1 января 2026 года на +401,9 млн. рублей, составит 94 837,6 млн. рублей; </w:t>
            </w:r>
          </w:p>
          <w:p w:rsidR="000952B2" w:rsidRDefault="000952B2" w:rsidP="00D17832">
            <w:pPr>
              <w:pStyle w:val="ac"/>
              <w:ind w:left="33" w:firstLine="284"/>
              <w:jc w:val="both"/>
            </w:pPr>
            <w:r>
              <w:t>на 1 января 2027 года на +0,02 рубля, составит 100 683,8 млн. рублей.</w:t>
            </w:r>
          </w:p>
          <w:p w:rsidR="000952B2" w:rsidRDefault="000952B2" w:rsidP="00D17832">
            <w:pPr>
              <w:pStyle w:val="ac"/>
              <w:ind w:left="33" w:firstLine="284"/>
              <w:jc w:val="both"/>
            </w:pPr>
            <w:proofErr w:type="gramStart"/>
            <w:r>
              <w:t>На законопроект поступило заключение контрольно-счетной палаты Архангельской области в котором отмечается, что законопроектом</w:t>
            </w:r>
            <w:r w:rsidR="008208EA">
              <w:t xml:space="preserve"> </w:t>
            </w:r>
            <w:r>
              <w:t xml:space="preserve">не предусматривается выполнение условий соглашений </w:t>
            </w:r>
            <w:r w:rsidR="008208EA">
              <w:t xml:space="preserve">                                </w:t>
            </w:r>
            <w:r>
              <w:t xml:space="preserve">о реструктуризации бюджетных кредитов, полученных из федерального бюджета </w:t>
            </w:r>
            <w:r w:rsidR="008208EA">
              <w:t xml:space="preserve">                     </w:t>
            </w:r>
            <w:r>
              <w:t>в части обеспечения предельного уровня дефицита бюджета и государственных долговых обязательств.</w:t>
            </w:r>
            <w:proofErr w:type="gramEnd"/>
            <w:r>
              <w:t xml:space="preserve"> Кроме того, согласно законопроекту, по состоянию на  1 января 2027 года уровень государственного долга Архангельской области практически достигнет порогового значения, установленного п. 4 ст. 107 БК РФ </w:t>
            </w:r>
            <w:r w:rsidR="0063705A">
              <w:t xml:space="preserve">                        </w:t>
            </w:r>
            <w:r>
              <w:t>(не должен превышать общий объем доходов без учета безвозмездных поступлений).</w:t>
            </w:r>
          </w:p>
          <w:p w:rsidR="00BF3676" w:rsidRDefault="000952B2" w:rsidP="00D17832">
            <w:pPr>
              <w:pStyle w:val="ac"/>
              <w:ind w:left="33" w:firstLine="284"/>
              <w:jc w:val="both"/>
            </w:pPr>
            <w:r>
              <w:t xml:space="preserve">Поправок на данный законопроект </w:t>
            </w:r>
            <w:r w:rsidR="0063705A">
              <w:t xml:space="preserve">                    </w:t>
            </w:r>
            <w:r>
              <w:t>от субъектов права законодательной инициативы не поступило.</w:t>
            </w:r>
          </w:p>
          <w:p w:rsidR="008A7FA6" w:rsidRPr="00E81688" w:rsidRDefault="008A7FA6" w:rsidP="00D17832">
            <w:pPr>
              <w:pStyle w:val="ac"/>
              <w:ind w:left="33" w:firstLine="284"/>
              <w:jc w:val="both"/>
            </w:pPr>
          </w:p>
        </w:tc>
        <w:tc>
          <w:tcPr>
            <w:tcW w:w="1843" w:type="dxa"/>
          </w:tcPr>
          <w:p w:rsidR="003C0AB3" w:rsidRPr="005366CD" w:rsidRDefault="003C0AB3" w:rsidP="003C0AB3">
            <w:pPr>
              <w:pStyle w:val="a3"/>
              <w:ind w:left="-76" w:right="-56" w:firstLine="0"/>
              <w:jc w:val="left"/>
              <w:rPr>
                <w:sz w:val="20"/>
              </w:rPr>
            </w:pPr>
            <w:r>
              <w:rPr>
                <w:sz w:val="24"/>
                <w:szCs w:val="24"/>
              </w:rPr>
              <w:lastRenderedPageBreak/>
              <w:t>В соответствии с планом</w:t>
            </w:r>
          </w:p>
        </w:tc>
        <w:tc>
          <w:tcPr>
            <w:tcW w:w="3544" w:type="dxa"/>
          </w:tcPr>
          <w:p w:rsidR="003C0AB3" w:rsidRPr="00361032" w:rsidRDefault="0063705A" w:rsidP="00924A56">
            <w:pPr>
              <w:ind w:firstLine="317"/>
              <w:jc w:val="both"/>
            </w:pPr>
            <w:r w:rsidRPr="0063705A">
              <w:t xml:space="preserve">На основании вышеизложенного комитет </w:t>
            </w:r>
            <w:r>
              <w:t xml:space="preserve">                  </w:t>
            </w:r>
            <w:r w:rsidRPr="0063705A">
              <w:t xml:space="preserve">по вопросам бюджета, экономики, финансовой </w:t>
            </w:r>
            <w:r>
              <w:t xml:space="preserve">                         </w:t>
            </w:r>
            <w:r w:rsidRPr="0063705A">
              <w:t xml:space="preserve">и налоговой политике рекомендует депутатам областного Собрания депутатов </w:t>
            </w:r>
            <w:r w:rsidRPr="008A7FA6">
              <w:rPr>
                <w:b/>
              </w:rPr>
              <w:t>принять</w:t>
            </w:r>
            <w:r w:rsidRPr="0063705A">
              <w:t xml:space="preserve"> указанный проект областного закона </w:t>
            </w:r>
            <w:r w:rsidR="008A7FA6">
              <w:t xml:space="preserve">                                     </w:t>
            </w:r>
            <w:r w:rsidRPr="0063705A">
              <w:t xml:space="preserve">на шестой сессии Архангельского областного Собрания депутатов восьмого созыва </w:t>
            </w:r>
            <w:r w:rsidRPr="008A7FA6">
              <w:rPr>
                <w:b/>
              </w:rPr>
              <w:t>в первом и во втором чтениях</w:t>
            </w:r>
            <w:r w:rsidRPr="0063705A">
              <w:t>.</w:t>
            </w:r>
          </w:p>
        </w:tc>
      </w:tr>
      <w:tr w:rsidR="008A7FA6" w:rsidRPr="00B27A37" w:rsidTr="00AE4530">
        <w:trPr>
          <w:trHeight w:val="344"/>
        </w:trPr>
        <w:tc>
          <w:tcPr>
            <w:tcW w:w="817" w:type="dxa"/>
          </w:tcPr>
          <w:p w:rsidR="008A7FA6" w:rsidRPr="003C0AB3" w:rsidRDefault="008A7FA6" w:rsidP="002F3764">
            <w:pPr>
              <w:pStyle w:val="a3"/>
              <w:ind w:firstLine="0"/>
              <w:jc w:val="center"/>
              <w:rPr>
                <w:sz w:val="24"/>
                <w:szCs w:val="24"/>
              </w:rPr>
            </w:pPr>
            <w:r>
              <w:rPr>
                <w:sz w:val="24"/>
                <w:szCs w:val="24"/>
              </w:rPr>
              <w:lastRenderedPageBreak/>
              <w:t>2.</w:t>
            </w:r>
          </w:p>
        </w:tc>
        <w:tc>
          <w:tcPr>
            <w:tcW w:w="2552" w:type="dxa"/>
          </w:tcPr>
          <w:p w:rsidR="008A7FA6" w:rsidRPr="008A7FA6" w:rsidRDefault="008A7FA6" w:rsidP="008A7FA6">
            <w:pPr>
              <w:pStyle w:val="ac"/>
              <w:ind w:left="34" w:firstLine="326"/>
              <w:jc w:val="both"/>
              <w:rPr>
                <w:bCs/>
              </w:rPr>
            </w:pPr>
            <w:r>
              <w:rPr>
                <w:bCs/>
              </w:rPr>
              <w:t>П</w:t>
            </w:r>
            <w:r w:rsidRPr="008A7FA6">
              <w:rPr>
                <w:bCs/>
              </w:rPr>
              <w:t xml:space="preserve">роект областного закона </w:t>
            </w:r>
            <w:r w:rsidRPr="004E154A">
              <w:rPr>
                <w:b/>
                <w:bCs/>
              </w:rPr>
              <w:t>пз8/55</w:t>
            </w:r>
            <w:r w:rsidRPr="008A7FA6">
              <w:rPr>
                <w:bCs/>
              </w:rPr>
              <w:t xml:space="preserve"> </w:t>
            </w:r>
            <w:r>
              <w:rPr>
                <w:bCs/>
              </w:rPr>
              <w:t xml:space="preserve">                      </w:t>
            </w:r>
            <w:r w:rsidRPr="008A7FA6">
              <w:rPr>
                <w:bCs/>
              </w:rPr>
              <w:t xml:space="preserve">«О внесении изменений в областной                       закон «Об </w:t>
            </w:r>
            <w:r w:rsidRPr="008A7FA6">
              <w:rPr>
                <w:bCs/>
              </w:rPr>
              <w:lastRenderedPageBreak/>
              <w:t xml:space="preserve">установлении дополнительных оснований признания </w:t>
            </w:r>
            <w:proofErr w:type="gramStart"/>
            <w:r w:rsidRPr="008A7FA6">
              <w:rPr>
                <w:bCs/>
              </w:rPr>
              <w:t>безнадежными</w:t>
            </w:r>
            <w:proofErr w:type="gramEnd"/>
            <w:r w:rsidRPr="008A7FA6">
              <w:rPr>
                <w:bCs/>
              </w:rPr>
              <w:t xml:space="preserve"> </w:t>
            </w:r>
            <w:r w:rsidR="004E154A">
              <w:rPr>
                <w:bCs/>
              </w:rPr>
              <w:t xml:space="preserve">                            </w:t>
            </w:r>
            <w:r w:rsidRPr="008A7FA6">
              <w:rPr>
                <w:bCs/>
              </w:rPr>
              <w:t xml:space="preserve">к взысканию недоимки по региональным налогам, задолженности по пеням                           и штрафам по этим налогам», внесенный в порядке законодательной инициативы Губернатором Архангельской области </w:t>
            </w:r>
            <w:proofErr w:type="spellStart"/>
            <w:r w:rsidRPr="008A7FA6">
              <w:rPr>
                <w:bCs/>
              </w:rPr>
              <w:t>Цыбульским</w:t>
            </w:r>
            <w:proofErr w:type="spellEnd"/>
            <w:r w:rsidRPr="008A7FA6">
              <w:rPr>
                <w:bCs/>
              </w:rPr>
              <w:t xml:space="preserve"> А.В.</w:t>
            </w:r>
          </w:p>
          <w:p w:rsidR="008A7FA6" w:rsidRPr="00FB4987" w:rsidRDefault="008A7FA6" w:rsidP="008A7FA6">
            <w:pPr>
              <w:pStyle w:val="ac"/>
              <w:ind w:left="34" w:firstLine="326"/>
              <w:jc w:val="both"/>
              <w:rPr>
                <w:bCs/>
              </w:rPr>
            </w:pPr>
            <w:r w:rsidRPr="008A7FA6">
              <w:rPr>
                <w:bCs/>
              </w:rPr>
              <w:t xml:space="preserve"> (</w:t>
            </w:r>
            <w:r w:rsidRPr="004E154A">
              <w:rPr>
                <w:b/>
                <w:bCs/>
              </w:rPr>
              <w:t>первое чтение</w:t>
            </w:r>
            <w:r w:rsidRPr="008A7FA6">
              <w:rPr>
                <w:bCs/>
              </w:rPr>
              <w:t>)</w:t>
            </w:r>
          </w:p>
        </w:tc>
        <w:tc>
          <w:tcPr>
            <w:tcW w:w="1701" w:type="dxa"/>
          </w:tcPr>
          <w:p w:rsidR="008A7FA6" w:rsidRDefault="004E154A" w:rsidP="00413FD7">
            <w:pPr>
              <w:shd w:val="clear" w:color="auto" w:fill="FFFFFF"/>
              <w:spacing w:line="253" w:lineRule="atLeast"/>
            </w:pPr>
            <w:r>
              <w:lastRenderedPageBreak/>
              <w:t>Губернатор</w:t>
            </w:r>
            <w:r w:rsidR="00926692">
              <w:t xml:space="preserve"> </w:t>
            </w:r>
            <w:proofErr w:type="spellStart"/>
            <w:proofErr w:type="gramStart"/>
            <w:r w:rsidR="00926692">
              <w:t>Архангель-ской</w:t>
            </w:r>
            <w:proofErr w:type="spellEnd"/>
            <w:proofErr w:type="gramEnd"/>
            <w:r w:rsidR="00926692">
              <w:t xml:space="preserve"> области</w:t>
            </w:r>
          </w:p>
          <w:p w:rsidR="00AB5EAD" w:rsidRDefault="00926692" w:rsidP="00413FD7">
            <w:pPr>
              <w:shd w:val="clear" w:color="auto" w:fill="FFFFFF"/>
              <w:spacing w:line="253" w:lineRule="atLeast"/>
            </w:pPr>
            <w:proofErr w:type="spellStart"/>
            <w:r>
              <w:t>Цыбульский</w:t>
            </w:r>
            <w:proofErr w:type="spellEnd"/>
            <w:r>
              <w:t xml:space="preserve"> А.В./</w:t>
            </w:r>
          </w:p>
          <w:p w:rsidR="00926692" w:rsidRDefault="00AB5EAD" w:rsidP="00413FD7">
            <w:pPr>
              <w:shd w:val="clear" w:color="auto" w:fill="FFFFFF"/>
              <w:spacing w:line="253" w:lineRule="atLeast"/>
            </w:pPr>
            <w:r>
              <w:t xml:space="preserve">Андреечев </w:t>
            </w:r>
            <w:r>
              <w:lastRenderedPageBreak/>
              <w:t>И.С.</w:t>
            </w:r>
          </w:p>
          <w:p w:rsidR="00926692" w:rsidRDefault="00926692" w:rsidP="00413FD7">
            <w:pPr>
              <w:shd w:val="clear" w:color="auto" w:fill="FFFFFF"/>
              <w:spacing w:line="253" w:lineRule="atLeast"/>
            </w:pPr>
          </w:p>
        </w:tc>
        <w:tc>
          <w:tcPr>
            <w:tcW w:w="4961" w:type="dxa"/>
          </w:tcPr>
          <w:p w:rsidR="00926692" w:rsidRDefault="00926692" w:rsidP="00926692">
            <w:pPr>
              <w:pStyle w:val="ac"/>
              <w:ind w:left="0" w:firstLine="317"/>
              <w:jc w:val="both"/>
            </w:pPr>
            <w:proofErr w:type="gramStart"/>
            <w:r>
              <w:lastRenderedPageBreak/>
              <w:t xml:space="preserve">Данным проектом областного закона предлагается внести изменения в статьи 1, 2, 3 и 4 областного закона от 7 ноября 2017 года № 558-38-ОЗ «Об установлении дополнительных оснований признания безнадежными к взысканию недоимки                     </w:t>
            </w:r>
            <w:r>
              <w:lastRenderedPageBreak/>
              <w:t xml:space="preserve">по региональным налогам, задолженности                по пеням и штрафам по этим налогам» </w:t>
            </w:r>
            <w:r w:rsidR="00BD30B6">
              <w:t xml:space="preserve">                     </w:t>
            </w:r>
            <w:r>
              <w:t xml:space="preserve">в части введения нового понятия «задолженность», которое используется </w:t>
            </w:r>
            <w:r w:rsidR="00BD30B6">
              <w:t xml:space="preserve">                  </w:t>
            </w:r>
            <w:r>
              <w:t>в значении понятия «задолженность               по уплате налогов, сборов и страховых</w:t>
            </w:r>
            <w:proofErr w:type="gramEnd"/>
            <w:r>
              <w:t xml:space="preserve"> взносов в бюджеты бюджетной системы Российской Федерации», определенного пунктом 2 статьи 11 Налогового кодекса Российской Федерации (далее по тексту – НК РФ). </w:t>
            </w:r>
            <w:proofErr w:type="gramStart"/>
            <w:r>
              <w:t xml:space="preserve">В силу Федерального закона № 263-ФЗ под задолженностью по уплате налогов, сборов и страховых взносов в бюджеты бюджетной системы Российской Федерации понимается общая сумма недоимок, а также не уплаченных налогоплательщиком, плательщиком сборов, плательщиком страховых взносов и (или) налоговым агентом пеней, штрафов и процентов, предусмотренных НК РФ, и сумм налогов, подлежащих возврату в бюджетную </w:t>
            </w:r>
            <w:r w:rsidR="00BD30B6">
              <w:t xml:space="preserve">                    </w:t>
            </w:r>
            <w:r>
              <w:t xml:space="preserve">систему Российской Федерации </w:t>
            </w:r>
            <w:r w:rsidR="00BD30B6">
              <w:t xml:space="preserve">                               </w:t>
            </w:r>
            <w:r>
              <w:t>в случаях, предусмотренных НК РФ</w:t>
            </w:r>
            <w:proofErr w:type="gramEnd"/>
            <w:r>
              <w:t xml:space="preserve">,                            </w:t>
            </w:r>
            <w:proofErr w:type="gramStart"/>
            <w:r>
              <w:t>равная</w:t>
            </w:r>
            <w:proofErr w:type="gramEnd"/>
            <w:r>
              <w:t xml:space="preserve"> размеру отрицательного </w:t>
            </w:r>
            <w:r w:rsidR="00BD30B6">
              <w:t xml:space="preserve">                                </w:t>
            </w:r>
            <w:r>
              <w:t xml:space="preserve">сальдо единого налогового счета </w:t>
            </w:r>
            <w:r w:rsidR="00BD30B6">
              <w:t xml:space="preserve">                                  </w:t>
            </w:r>
            <w:r>
              <w:t xml:space="preserve">этого лица. Вносятся изменения в части </w:t>
            </w:r>
            <w:r w:rsidR="00BD30B6">
              <w:t xml:space="preserve">                           </w:t>
            </w:r>
            <w:r>
              <w:t xml:space="preserve">уточнения требований об уплате                         задолженностей по отмененным региональным налогам,                                                      взимаемым с юридических лиц, </w:t>
            </w:r>
            <w:r w:rsidR="00BD30B6">
              <w:t xml:space="preserve">                                    </w:t>
            </w:r>
            <w:r>
              <w:t xml:space="preserve">по региональным налогам,                                 числящимся за налогоплательщиками </w:t>
            </w:r>
            <w:r w:rsidR="00BD30B6">
              <w:t xml:space="preserve">                           </w:t>
            </w:r>
            <w:r>
              <w:t>– физическими лицами                                                и за налогоплательщиками-организациями.</w:t>
            </w:r>
          </w:p>
          <w:p w:rsidR="00926692" w:rsidRDefault="00926692" w:rsidP="00926692">
            <w:pPr>
              <w:pStyle w:val="ac"/>
              <w:ind w:left="0" w:firstLine="317"/>
              <w:jc w:val="both"/>
            </w:pPr>
            <w:r>
              <w:t xml:space="preserve">Кроме того, предлагается сократить перечень документов для признания </w:t>
            </w:r>
            <w:r>
              <w:lastRenderedPageBreak/>
              <w:t xml:space="preserve">налоговой задолженности безнадежной </w:t>
            </w:r>
            <w:r w:rsidR="00BD30B6">
              <w:t xml:space="preserve">                       </w:t>
            </w:r>
            <w:r>
              <w:t xml:space="preserve">к взысканию, предусмотрев только заключение налогового органа по месту учета налогоплательщика о признании безнадежной к взысканию задолженности </w:t>
            </w:r>
            <w:r w:rsidR="00BD30B6">
              <w:t xml:space="preserve">                      </w:t>
            </w:r>
            <w:r>
              <w:t xml:space="preserve">в части сумм региональных налогов. </w:t>
            </w:r>
          </w:p>
          <w:p w:rsidR="00926692" w:rsidRDefault="00926692" w:rsidP="00926692">
            <w:pPr>
              <w:pStyle w:val="ac"/>
              <w:ind w:left="0" w:firstLine="317"/>
              <w:jc w:val="both"/>
            </w:pPr>
            <w:r>
              <w:t xml:space="preserve">Предлагается также установить дополнительное основание признания безнадежной к взысканию задолженности </w:t>
            </w:r>
            <w:r w:rsidR="00BD30B6">
              <w:t xml:space="preserve">                   </w:t>
            </w:r>
            <w:r>
              <w:t xml:space="preserve">в части сумм транспортного налога                          в случае наличия у налогоплательщиков – физических лиц задолженности                        по данному налогу в сумме, не превышающей 100 рублей, со дня образования которой прошло более трех лет. </w:t>
            </w:r>
            <w:proofErr w:type="gramStart"/>
            <w:r>
              <w:t xml:space="preserve">В пояснительной записке к законопроекту указывается о том, что по мнению Управления ФНС </w:t>
            </w:r>
            <w:r w:rsidR="00BD30B6">
              <w:t xml:space="preserve">                             </w:t>
            </w:r>
            <w:r>
              <w:t xml:space="preserve">по Архангельской области и НАО отсутствие поступлений от таких налогоплательщиков </w:t>
            </w:r>
            <w:r w:rsidR="00BD30B6">
              <w:t xml:space="preserve">                 </w:t>
            </w:r>
            <w:r>
              <w:t xml:space="preserve">в течение последних лет, а также, принимая во внимание то, что совокупные расходы                  по принудительному взысканию такого долга, превысят величину этого долга, свидетельствуют о том, что такой долг является безнадежным к взысканию. </w:t>
            </w:r>
            <w:proofErr w:type="gramEnd"/>
          </w:p>
          <w:p w:rsidR="00926692" w:rsidRDefault="00926692" w:rsidP="00926692">
            <w:pPr>
              <w:pStyle w:val="ac"/>
              <w:ind w:left="0" w:firstLine="317"/>
              <w:jc w:val="both"/>
            </w:pPr>
            <w:r>
              <w:t>Согласно финансово-экономического обоснования к законопроекту</w:t>
            </w:r>
            <w:r w:rsidR="003B7E79">
              <w:t xml:space="preserve"> </w:t>
            </w:r>
            <w:r>
              <w:t xml:space="preserve">по состоянию на 1 октября 2023 года задолженность </w:t>
            </w:r>
            <w:r w:rsidR="003B7E79">
              <w:t xml:space="preserve">                       </w:t>
            </w:r>
            <w:r>
              <w:t>по транспортному налогу менее 100 рублей, со дня образования которой прошло более трех лет, имеют свыше трех тысяч физических лиц – жителей Архангельской области. Общая сумма указанной задолженности составляет 43,9 тыс. рублей.</w:t>
            </w:r>
          </w:p>
          <w:p w:rsidR="00926692" w:rsidRDefault="00926692" w:rsidP="00926692">
            <w:pPr>
              <w:pStyle w:val="ac"/>
              <w:ind w:left="0" w:firstLine="317"/>
              <w:jc w:val="both"/>
            </w:pPr>
            <w:r>
              <w:t>Вступление в силу настоящего закона предлагается определить со дня</w:t>
            </w:r>
            <w:r w:rsidR="003B7E79">
              <w:t xml:space="preserve"> </w:t>
            </w:r>
            <w:r>
              <w:t xml:space="preserve">его </w:t>
            </w:r>
            <w:r>
              <w:lastRenderedPageBreak/>
              <w:t xml:space="preserve">официального опубликования.                      </w:t>
            </w:r>
          </w:p>
          <w:p w:rsidR="00926692" w:rsidRDefault="00926692" w:rsidP="00926692">
            <w:pPr>
              <w:pStyle w:val="ac"/>
              <w:ind w:left="0" w:firstLine="317"/>
              <w:jc w:val="both"/>
            </w:pPr>
            <w:proofErr w:type="gramStart"/>
            <w:r>
              <w:t xml:space="preserve">На данный законопроект поступили заключения от прокуратуры Архангельской области, администрации городского округа Архангельской области «Мирный», «Город Коряжма», администрации муниципального образования «Вельский муниципальный район», Собрания депутатов Вельского муниципального района Архангельской области, городского Совета депутатов городского округа Архангельской области «Мирный», Управления министерства юстиции Российской Федерации </w:t>
            </w:r>
            <w:r w:rsidR="003B7E79">
              <w:t xml:space="preserve">                                </w:t>
            </w:r>
            <w:r>
              <w:t xml:space="preserve">по Архангельской области и Ненецкому автономному округу, контрольно-счетной палаты Архангельской области в которых </w:t>
            </w:r>
            <w:r w:rsidR="003B7E79">
              <w:t xml:space="preserve">                </w:t>
            </w:r>
            <w:r>
              <w:t>не содержится замечаний и</w:t>
            </w:r>
            <w:proofErr w:type="gramEnd"/>
            <w:r>
              <w:t xml:space="preserve"> предложений </w:t>
            </w:r>
            <w:r w:rsidR="003B7E79">
              <w:t xml:space="preserve">                  </w:t>
            </w:r>
            <w:r>
              <w:t>к данному законопроекту.</w:t>
            </w:r>
          </w:p>
          <w:p w:rsidR="00926692" w:rsidRDefault="00926692" w:rsidP="00926692">
            <w:pPr>
              <w:pStyle w:val="ac"/>
              <w:ind w:left="0" w:firstLine="317"/>
              <w:jc w:val="both"/>
            </w:pPr>
            <w:proofErr w:type="gramStart"/>
            <w:r>
              <w:t xml:space="preserve">Согласно пояснениям к законопроекту, представленным налоговым органом взыскание задолженности в сумме менее </w:t>
            </w:r>
            <w:r w:rsidR="003B7E79">
              <w:t xml:space="preserve">                </w:t>
            </w:r>
            <w:r>
              <w:t>100 руб. влечет издержки как для федерального, так и регионального бюджетов, включая расходы на печать, рассылку почтовой корреспонденции, трудозатраты и расходы на оплату труда сотрудников налоговых органов, судебных органов, службы судебных приставов.</w:t>
            </w:r>
            <w:proofErr w:type="gramEnd"/>
            <w:r>
              <w:t xml:space="preserve"> Стоимость материальных затрат и отправки почтовой корреспонденции при взыскании </w:t>
            </w:r>
            <w:r w:rsidR="00705B8C">
              <w:t xml:space="preserve">                    </w:t>
            </w:r>
            <w:r>
              <w:t xml:space="preserve">с </w:t>
            </w:r>
            <w:proofErr w:type="gramStart"/>
            <w:r>
              <w:t>одного физического лица составляет</w:t>
            </w:r>
            <w:proofErr w:type="gramEnd"/>
            <w:r>
              <w:t xml:space="preserve">                        292,2 руб., расходы налогового органа </w:t>
            </w:r>
            <w:r w:rsidR="00705B8C">
              <w:t xml:space="preserve">                     </w:t>
            </w:r>
            <w:r>
              <w:t xml:space="preserve">на отправку почтовой корреспонденции </w:t>
            </w:r>
            <w:r w:rsidR="00705B8C">
              <w:t xml:space="preserve">                     </w:t>
            </w:r>
            <w:r>
              <w:t xml:space="preserve">в отношении должников, имеющих задолженность менее 100 руб. составят более 877 тыс. руб., что в 20 раз превышает размер </w:t>
            </w:r>
            <w:r>
              <w:lastRenderedPageBreak/>
              <w:t xml:space="preserve">самого долга. Управлением ФНС </w:t>
            </w:r>
            <w:r w:rsidR="00705B8C">
              <w:t xml:space="preserve">                             </w:t>
            </w:r>
            <w:r>
              <w:t xml:space="preserve">по Архангельской области и НАО </w:t>
            </w:r>
            <w:r w:rsidR="00705B8C">
              <w:t xml:space="preserve">                                </w:t>
            </w:r>
            <w:r>
              <w:t xml:space="preserve">в направленных разъяснениях указывается, что налоговым органом принимаются </w:t>
            </w:r>
            <w:r w:rsidR="00705B8C">
              <w:t xml:space="preserve">                      </w:t>
            </w:r>
            <w:r>
              <w:t xml:space="preserve">все предусмотренные законодательством </w:t>
            </w:r>
            <w:r w:rsidR="00705B8C">
              <w:t xml:space="preserve">                    </w:t>
            </w:r>
            <w:r>
              <w:t>о налогах и сборах меры по принудительному взысканию задолженности по транспортному налогу с физических лиц независимо                           от суммы долга. В случае</w:t>
            </w:r>
            <w:proofErr w:type="gramStart"/>
            <w:r>
              <w:t>,</w:t>
            </w:r>
            <w:proofErr w:type="gramEnd"/>
            <w:r>
              <w:t xml:space="preserve"> если  сумма задолженности не превышает 10 тыс. рублей, в течение периода до наступления срока, предусмотренного абзацем 2 подпункта 2 пункта 3 статьи 48 НК РФ на постоянной основе проводится ряд мероприятий, направленных на урегулирование задолженностей физических лиц (направление в адрес работодателей физических лиц информационных писем </w:t>
            </w:r>
            <w:r w:rsidR="00705B8C">
              <w:t xml:space="preserve">                     </w:t>
            </w:r>
            <w:r>
              <w:t xml:space="preserve">с приложением списка сотрудников, имеющих неисполненную обязанность </w:t>
            </w:r>
            <w:r w:rsidR="00705B8C">
              <w:t xml:space="preserve">                     </w:t>
            </w:r>
            <w:r>
              <w:t xml:space="preserve">по уплате налогов; </w:t>
            </w:r>
            <w:proofErr w:type="gramStart"/>
            <w:r>
              <w:t xml:space="preserve">направление информации в адрес администрации муниципальных округов </w:t>
            </w:r>
            <w:r w:rsidR="00705B8C">
              <w:t xml:space="preserve"> </w:t>
            </w:r>
            <w:r>
              <w:t xml:space="preserve">и городов Архангельской области </w:t>
            </w:r>
            <w:r w:rsidR="00705B8C">
              <w:t xml:space="preserve">                          </w:t>
            </w:r>
            <w:r>
              <w:t xml:space="preserve">об организациях, сотрудники которых имеют неисполненную обязанность по уплате налогов; информирование граждан                      (в случае их согласия) о наличии задолженности по налогам и выдача квитанций на уплату при обращении </w:t>
            </w:r>
            <w:r w:rsidR="00705B8C">
              <w:t xml:space="preserve">                            </w:t>
            </w:r>
            <w:r>
              <w:t xml:space="preserve">в операционные залы Управления                              и в многофункциональные центры; доведение до налогоплательщиков информации </w:t>
            </w:r>
            <w:r w:rsidR="00705B8C">
              <w:t xml:space="preserve">                        </w:t>
            </w:r>
            <w:r>
              <w:t>о возможности получать СМС – информирование о наличии задолженности;</w:t>
            </w:r>
            <w:proofErr w:type="gramEnd"/>
            <w:r>
              <w:t xml:space="preserve"> размещение информации об актуальном сальдо единого налогового счета в личном </w:t>
            </w:r>
            <w:r>
              <w:lastRenderedPageBreak/>
              <w:t xml:space="preserve">кабинете физического лица, а также                                           на справочно-информационном </w:t>
            </w:r>
            <w:proofErr w:type="spellStart"/>
            <w:proofErr w:type="gramStart"/>
            <w:r>
              <w:t>интернет-портале</w:t>
            </w:r>
            <w:proofErr w:type="spellEnd"/>
            <w:proofErr w:type="gramEnd"/>
            <w:r>
              <w:t xml:space="preserve"> «</w:t>
            </w:r>
            <w:proofErr w:type="spellStart"/>
            <w:r>
              <w:t>Госуслуги</w:t>
            </w:r>
            <w:proofErr w:type="spellEnd"/>
            <w:r>
              <w:t>»).</w:t>
            </w:r>
          </w:p>
          <w:p w:rsidR="00926692" w:rsidRDefault="00926692" w:rsidP="00926692">
            <w:pPr>
              <w:pStyle w:val="ac"/>
              <w:ind w:left="0" w:firstLine="317"/>
              <w:jc w:val="both"/>
            </w:pPr>
            <w:r>
              <w:t xml:space="preserve">На данный законопроект поступило заключение правового управления Архангельского областного Собрания депутатов, в  котором указывается,                                 что в соответствии с пунктом 1 статьи 363 Налогового кодекса Российской Федерации транспортный налог подлежит уплате налогоплательщиками – физическими лицами в срок не позднее 1 декабря года, следующего                   за истекшим налоговым периодом. </w:t>
            </w:r>
            <w:proofErr w:type="gramStart"/>
            <w:r>
              <w:t xml:space="preserve">В силу пункта 2 статьи 70 Налогового кодекса Российской Федерации в случае, если отрицательное сальдо единого налогового счета лица – налогоплательщика, плательщика сбора, плательщика страховых взносов, налогового агента не превышает </w:t>
            </w:r>
            <w:r w:rsidR="00705B8C">
              <w:t xml:space="preserve">                    </w:t>
            </w:r>
            <w:r>
              <w:t>3 000 рублей, требование об уплате задолженности в размере отрицательного сальдо единого налогового счета должно быть направлено этому лицу не позднее одного года со дня формирования указанного отрицательного сальдо единого налогового</w:t>
            </w:r>
            <w:proofErr w:type="gramEnd"/>
            <w:r>
              <w:t xml:space="preserve"> счета. Согласно пункту 3 статьи 69 Налогового кодекса Российской Федерации требование об уплате задолженности должно быть исполнено в течение восьми дней с даты получения указанного требования, если более продолжительный период времени для уплаты задолженности не указан в этом требовании. </w:t>
            </w:r>
            <w:proofErr w:type="gramStart"/>
            <w:r>
              <w:t xml:space="preserve">В соответствии с подпунктом 2 пункта 3 статьи 48 Налогового кодекса Российской  Федерации в случае, если сумма задолженности не превышает 10 тысяч </w:t>
            </w:r>
            <w:r>
              <w:lastRenderedPageBreak/>
              <w:t xml:space="preserve">рублей, налоговый орган вправе обратиться </w:t>
            </w:r>
            <w:r w:rsidR="00266574">
              <w:t xml:space="preserve">                  </w:t>
            </w:r>
            <w:r>
              <w:t xml:space="preserve">в суд общей юрисдикции с заявлением </w:t>
            </w:r>
            <w:r w:rsidR="00266574">
              <w:t xml:space="preserve">                  </w:t>
            </w:r>
            <w:r>
              <w:t>о взыскании задолженности за счет имущества налогоплательщика – физического лица, не являющегося индивидуальным предпринимателем, не позднее 1 июля года, на 1 января которого истекло         три года со дня</w:t>
            </w:r>
            <w:proofErr w:type="gramEnd"/>
            <w:r>
              <w:t xml:space="preserve"> истечения срока исполнения требования об уплате задолженности. </w:t>
            </w:r>
            <w:r>
              <w:tab/>
            </w:r>
          </w:p>
          <w:p w:rsidR="00926692" w:rsidRDefault="00926692" w:rsidP="00926692">
            <w:pPr>
              <w:pStyle w:val="ac"/>
              <w:ind w:left="0" w:firstLine="317"/>
              <w:jc w:val="both"/>
            </w:pPr>
            <w:r>
              <w:t xml:space="preserve">Из анализа вышеприведенных норм следует, что по </w:t>
            </w:r>
            <w:proofErr w:type="gramStart"/>
            <w:r>
              <w:t>истечении</w:t>
            </w:r>
            <w:proofErr w:type="gramEnd"/>
            <w:r>
              <w:t xml:space="preserve"> трехлетнего срока со дня образования задолженности по транспортному налогу налоговый орган не утрачивает возможность взыскания указанных сумм, поскольку суммарно вышеуказанные сроки, предусмотренные федеральным налоговым законодательством, не истекли. </w:t>
            </w:r>
          </w:p>
          <w:p w:rsidR="00926692" w:rsidRDefault="00926692" w:rsidP="00926692">
            <w:pPr>
              <w:pStyle w:val="ac"/>
              <w:ind w:left="0" w:firstLine="317"/>
              <w:jc w:val="both"/>
            </w:pPr>
            <w:r>
              <w:t>Кроме того, в заключени</w:t>
            </w:r>
            <w:proofErr w:type="gramStart"/>
            <w:r>
              <w:t>и</w:t>
            </w:r>
            <w:proofErr w:type="gramEnd"/>
            <w:r>
              <w:t xml:space="preserve"> правового управления Архангельского областного Собрания депутатов указывается на то, </w:t>
            </w:r>
            <w:r w:rsidR="00266574">
              <w:t xml:space="preserve">                 </w:t>
            </w:r>
            <w:r>
              <w:t xml:space="preserve">что согласно пояснительной записке </w:t>
            </w:r>
            <w:r w:rsidR="00266574">
              <w:t xml:space="preserve">                         </w:t>
            </w:r>
            <w:r>
              <w:t xml:space="preserve">в подтверждение экономической нецелесообразности взыскания налоговой задолженности в сумме менее 100 руб., </w:t>
            </w:r>
            <w:r w:rsidR="00266574">
              <w:t xml:space="preserve">                    </w:t>
            </w:r>
            <w:r>
              <w:t xml:space="preserve">не приводятся какие-либо расчеты </w:t>
            </w:r>
            <w:r w:rsidR="00266574">
              <w:t xml:space="preserve">                             </w:t>
            </w:r>
            <w:r>
              <w:t xml:space="preserve">в обоснование такого довода (анализ </w:t>
            </w:r>
            <w:r w:rsidR="00266574">
              <w:t xml:space="preserve">                           </w:t>
            </w:r>
            <w:r>
              <w:t xml:space="preserve">и доказательное подтверждение соотношения расходов по взысканию задолженности </w:t>
            </w:r>
            <w:r w:rsidR="00266574">
              <w:t xml:space="preserve">                    </w:t>
            </w:r>
            <w:r>
              <w:t xml:space="preserve">к сумме задолженности в зависимости </w:t>
            </w:r>
            <w:r w:rsidR="00266574">
              <w:t xml:space="preserve">                    </w:t>
            </w:r>
            <w:r>
              <w:t xml:space="preserve">от порядка и стадии взыскания, вида имущества, учета электронного документооборота и прочее). </w:t>
            </w:r>
          </w:p>
          <w:p w:rsidR="00926692" w:rsidRDefault="00926692" w:rsidP="00926692">
            <w:pPr>
              <w:pStyle w:val="ac"/>
              <w:ind w:left="0" w:firstLine="317"/>
              <w:jc w:val="both"/>
            </w:pPr>
            <w:r>
              <w:t xml:space="preserve">Пополнение бюджета и сбор фискальных платежей вне зависимости от суммы налоговой задолженности относится </w:t>
            </w:r>
            <w:r w:rsidR="00266574">
              <w:t xml:space="preserve">                         </w:t>
            </w:r>
            <w:r>
              <w:lastRenderedPageBreak/>
              <w:t>к обязанностям уполномоченных государственных органов. Налоговым законодательством</w:t>
            </w:r>
            <w:r w:rsidR="00266574">
              <w:t xml:space="preserve"> </w:t>
            </w:r>
            <w:r>
              <w:t xml:space="preserve">не предусмотрен отказ налогового органа от такой обязанности </w:t>
            </w:r>
            <w:r w:rsidR="00266574">
              <w:t xml:space="preserve">                   </w:t>
            </w:r>
            <w:r>
              <w:t xml:space="preserve">в зависимости от суммы долга перед бюджетом.               </w:t>
            </w:r>
          </w:p>
          <w:p w:rsidR="00926692" w:rsidRDefault="00926692" w:rsidP="00926692">
            <w:pPr>
              <w:pStyle w:val="ac"/>
              <w:ind w:left="0" w:firstLine="317"/>
              <w:jc w:val="both"/>
            </w:pPr>
            <w:proofErr w:type="gramStart"/>
            <w:r>
              <w:t xml:space="preserve">Комитет обращает внимание Правительства Архангельской области                       на то обстоятельство, что данным законопроектом предлагается установить дополнительное основание признания безнадежной к взысканию задолженности </w:t>
            </w:r>
            <w:r w:rsidR="00E82D82">
              <w:t xml:space="preserve">               </w:t>
            </w:r>
            <w:r>
              <w:t>в части сумм транспортного налога в случае наличия</w:t>
            </w:r>
            <w:r w:rsidR="00E82D82">
              <w:t xml:space="preserve"> </w:t>
            </w:r>
            <w:r>
              <w:t>у налогоплательщиков – физических лиц задолженности по данному налогу                    в сумме, не превышающей 100 рублей, со дня образования которой прошло более трех лет, без учета установленных сроков, предусмотренных федеральным налоговым законодательством, в</w:t>
            </w:r>
            <w:proofErr w:type="gramEnd"/>
            <w:r>
              <w:t xml:space="preserve"> которые у налогового органа существует возможность взыскания указанных сумм задолженности с целью признания задолженности безнадежной. </w:t>
            </w:r>
          </w:p>
          <w:p w:rsidR="00926692" w:rsidRDefault="00926692" w:rsidP="00926692">
            <w:pPr>
              <w:pStyle w:val="ac"/>
              <w:ind w:left="0" w:firstLine="317"/>
              <w:jc w:val="both"/>
            </w:pPr>
            <w:r>
              <w:t xml:space="preserve">Кроме того, дополнительные </w:t>
            </w:r>
            <w:r w:rsidR="00E82D82">
              <w:t xml:space="preserve">                  </w:t>
            </w:r>
            <w:r>
              <w:t xml:space="preserve">основания для списания                                                 задолженности по региональным налогам, включая штрафы и пени в областном законодательстве не распространяются </w:t>
            </w:r>
            <w:r w:rsidR="00E82D82">
              <w:t xml:space="preserve">                   </w:t>
            </w:r>
            <w:r>
              <w:t xml:space="preserve">на категорию налогоплательщиков, числящихся за умершими физическими лицами либо объявленными </w:t>
            </w:r>
            <w:proofErr w:type="gramStart"/>
            <w:r>
              <w:t>судом</w:t>
            </w:r>
            <w:proofErr w:type="gramEnd"/>
            <w:r>
              <w:t xml:space="preserve"> </w:t>
            </w:r>
            <w:r w:rsidR="00E82D82">
              <w:t xml:space="preserve">     </w:t>
            </w:r>
            <w:r>
              <w:t xml:space="preserve">умершими в порядке, установленном </w:t>
            </w:r>
            <w:r w:rsidR="00E82D82">
              <w:t xml:space="preserve">                       </w:t>
            </w:r>
            <w:r>
              <w:t xml:space="preserve">гражданским процессуальным законодательством Российской Федерации, </w:t>
            </w:r>
            <w:r w:rsidR="00E82D82">
              <w:t xml:space="preserve">                     </w:t>
            </w:r>
            <w:r>
              <w:t xml:space="preserve">в случае </w:t>
            </w:r>
            <w:proofErr w:type="spellStart"/>
            <w:r>
              <w:t>ненаследования</w:t>
            </w:r>
            <w:proofErr w:type="spellEnd"/>
            <w:r>
              <w:t xml:space="preserve"> имущества </w:t>
            </w:r>
            <w:r w:rsidR="00E82D82">
              <w:t xml:space="preserve">                       </w:t>
            </w:r>
            <w:r>
              <w:t xml:space="preserve">по истечении трех лет с даты смерти. </w:t>
            </w:r>
          </w:p>
          <w:p w:rsidR="008A7FA6" w:rsidRDefault="00926692" w:rsidP="00926692">
            <w:pPr>
              <w:pStyle w:val="ac"/>
              <w:ind w:left="0" w:firstLine="317"/>
              <w:jc w:val="both"/>
            </w:pPr>
            <w:r>
              <w:lastRenderedPageBreak/>
              <w:t xml:space="preserve">Комитет рекомендует </w:t>
            </w:r>
            <w:r w:rsidR="00E82D82">
              <w:t xml:space="preserve">                         </w:t>
            </w:r>
            <w:r>
              <w:t xml:space="preserve">Правительству Архангельской области                                    по результатам рассмотрения </w:t>
            </w:r>
            <w:r w:rsidR="00AB5EAD">
              <w:t xml:space="preserve">                            </w:t>
            </w:r>
            <w:r>
              <w:t xml:space="preserve">данного законопроекта на заседании комитета  учесть замечания, высказанные </w:t>
            </w:r>
            <w:r w:rsidR="00AB5EAD">
              <w:t xml:space="preserve">                   </w:t>
            </w:r>
            <w:r>
              <w:t>в ходе его обсуждения.</w:t>
            </w:r>
          </w:p>
          <w:p w:rsidR="00E82D82" w:rsidRDefault="00E82D82" w:rsidP="00926692">
            <w:pPr>
              <w:pStyle w:val="ac"/>
              <w:ind w:left="0" w:firstLine="317"/>
              <w:jc w:val="both"/>
            </w:pPr>
          </w:p>
        </w:tc>
        <w:tc>
          <w:tcPr>
            <w:tcW w:w="1843" w:type="dxa"/>
          </w:tcPr>
          <w:p w:rsidR="008A7FA6" w:rsidRDefault="002F3077" w:rsidP="003C0AB3">
            <w:pPr>
              <w:pStyle w:val="a3"/>
              <w:ind w:left="-76" w:right="-56" w:firstLine="0"/>
              <w:jc w:val="left"/>
              <w:rPr>
                <w:sz w:val="24"/>
                <w:szCs w:val="24"/>
              </w:rPr>
            </w:pPr>
            <w:r>
              <w:rPr>
                <w:sz w:val="24"/>
                <w:szCs w:val="24"/>
              </w:rPr>
              <w:lastRenderedPageBreak/>
              <w:t>Вне плана</w:t>
            </w:r>
          </w:p>
        </w:tc>
        <w:tc>
          <w:tcPr>
            <w:tcW w:w="3544" w:type="dxa"/>
          </w:tcPr>
          <w:p w:rsidR="00264A90" w:rsidRDefault="00264A90" w:rsidP="00264A90">
            <w:pPr>
              <w:ind w:firstLine="317"/>
              <w:jc w:val="both"/>
            </w:pPr>
            <w:r>
              <w:t xml:space="preserve">Комитет рекомендует депутатам областного Собрания депутатов  </w:t>
            </w:r>
            <w:r w:rsidRPr="00264A90">
              <w:rPr>
                <w:b/>
              </w:rPr>
              <w:t>принять</w:t>
            </w:r>
            <w:r>
              <w:t xml:space="preserve"> предложенный проект </w:t>
            </w:r>
            <w:r w:rsidRPr="00876523">
              <w:rPr>
                <w:b/>
              </w:rPr>
              <w:t>областного закона в первом чтении</w:t>
            </w:r>
            <w:r>
              <w:t xml:space="preserve"> на очередной шестой </w:t>
            </w:r>
            <w:r>
              <w:lastRenderedPageBreak/>
              <w:t>сессии областного Собрания депутатов восьмого созыва.</w:t>
            </w:r>
          </w:p>
          <w:p w:rsidR="00264A90" w:rsidRDefault="00264A90" w:rsidP="00264A90">
            <w:pPr>
              <w:ind w:firstLine="317"/>
              <w:jc w:val="both"/>
            </w:pPr>
          </w:p>
          <w:p w:rsidR="008A7FA6" w:rsidRPr="0063705A" w:rsidRDefault="008A7FA6" w:rsidP="00924A56">
            <w:pPr>
              <w:ind w:firstLine="317"/>
              <w:jc w:val="both"/>
            </w:pPr>
          </w:p>
        </w:tc>
      </w:tr>
      <w:tr w:rsidR="003C0AB3" w:rsidRPr="001B3D90" w:rsidTr="00AE4530">
        <w:trPr>
          <w:trHeight w:val="344"/>
        </w:trPr>
        <w:tc>
          <w:tcPr>
            <w:tcW w:w="817" w:type="dxa"/>
          </w:tcPr>
          <w:p w:rsidR="003C0AB3" w:rsidRPr="003C0AB3" w:rsidRDefault="00161EE0" w:rsidP="002F3764">
            <w:pPr>
              <w:pStyle w:val="a3"/>
              <w:ind w:firstLine="0"/>
              <w:jc w:val="center"/>
              <w:rPr>
                <w:sz w:val="24"/>
                <w:szCs w:val="24"/>
              </w:rPr>
            </w:pPr>
            <w:r>
              <w:rPr>
                <w:sz w:val="24"/>
                <w:szCs w:val="24"/>
              </w:rPr>
              <w:lastRenderedPageBreak/>
              <w:t>3</w:t>
            </w:r>
            <w:r w:rsidR="003C0AB3" w:rsidRPr="003C0AB3">
              <w:rPr>
                <w:sz w:val="24"/>
                <w:szCs w:val="24"/>
              </w:rPr>
              <w:t>.</w:t>
            </w:r>
          </w:p>
        </w:tc>
        <w:tc>
          <w:tcPr>
            <w:tcW w:w="2552" w:type="dxa"/>
          </w:tcPr>
          <w:p w:rsidR="00AB5EAD" w:rsidRPr="00FB4987" w:rsidRDefault="00AB5EAD" w:rsidP="00AB5EAD">
            <w:pPr>
              <w:autoSpaceDE w:val="0"/>
              <w:autoSpaceDN w:val="0"/>
              <w:adjustRightInd w:val="0"/>
              <w:ind w:firstLine="317"/>
              <w:jc w:val="both"/>
              <w:rPr>
                <w:bCs/>
              </w:rPr>
            </w:pPr>
            <w:r w:rsidRPr="00FB4987">
              <w:rPr>
                <w:bCs/>
              </w:rPr>
              <w:t xml:space="preserve">Рассмотрение информации </w:t>
            </w:r>
            <w:r w:rsidR="00F7400B">
              <w:rPr>
                <w:bCs/>
              </w:rPr>
              <w:t xml:space="preserve">                               </w:t>
            </w:r>
            <w:r w:rsidRPr="00FB4987">
              <w:rPr>
                <w:bCs/>
              </w:rPr>
              <w:t xml:space="preserve">о деятельности АНО АО «Агентство регионального развития»                       в части выполнения функций, связанных </w:t>
            </w:r>
            <w:r>
              <w:rPr>
                <w:bCs/>
              </w:rPr>
              <w:t xml:space="preserve">                      </w:t>
            </w:r>
            <w:r w:rsidRPr="00FB4987">
              <w:rPr>
                <w:bCs/>
              </w:rPr>
              <w:t xml:space="preserve">со следующими направлениями деятельности: поддержка предпринимательства, развитие инвестиционной деятельности, развитие государственно-частного партнерства, поддержка экспорта, кластерное развитие, работа Инновационного центра, взаимодействие </w:t>
            </w:r>
            <w:r>
              <w:rPr>
                <w:bCs/>
              </w:rPr>
              <w:t xml:space="preserve">                       </w:t>
            </w:r>
            <w:r w:rsidRPr="00FB4987">
              <w:rPr>
                <w:bCs/>
              </w:rPr>
              <w:t xml:space="preserve">с муниципальными образованиями Архангельской области по развитию </w:t>
            </w:r>
            <w:r w:rsidRPr="00FB4987">
              <w:rPr>
                <w:bCs/>
              </w:rPr>
              <w:lastRenderedPageBreak/>
              <w:t>бизнес проектов на их территориях.</w:t>
            </w:r>
          </w:p>
          <w:p w:rsidR="00AB5EAD" w:rsidRDefault="00161EE0" w:rsidP="00AB5EAD">
            <w:pPr>
              <w:pStyle w:val="ac"/>
              <w:autoSpaceDE w:val="0"/>
              <w:autoSpaceDN w:val="0"/>
              <w:adjustRightInd w:val="0"/>
              <w:ind w:left="0" w:firstLine="360"/>
              <w:jc w:val="both"/>
              <w:rPr>
                <w:bCs/>
              </w:rPr>
            </w:pPr>
            <w:r>
              <w:rPr>
                <w:bCs/>
              </w:rPr>
              <w:t>Рассмотрение информации                                о</w:t>
            </w:r>
            <w:r w:rsidR="00AB5EAD">
              <w:rPr>
                <w:bCs/>
              </w:rPr>
              <w:t xml:space="preserve"> деятельности Центра компетенции </w:t>
            </w:r>
            <w:r w:rsidR="00F7400B">
              <w:rPr>
                <w:bCs/>
              </w:rPr>
              <w:t xml:space="preserve"> </w:t>
            </w:r>
            <w:r w:rsidR="00AB5EAD">
              <w:rPr>
                <w:bCs/>
              </w:rPr>
              <w:t>в сфере сельскохозяйственной кооперации и поддержки</w:t>
            </w:r>
            <w:r>
              <w:rPr>
                <w:bCs/>
              </w:rPr>
              <w:t xml:space="preserve"> фермеров ГАУ</w:t>
            </w:r>
            <w:r w:rsidR="00AB5EAD">
              <w:rPr>
                <w:bCs/>
              </w:rPr>
              <w:t>АО «</w:t>
            </w:r>
            <w:proofErr w:type="spellStart"/>
            <w:r w:rsidR="00AB5EAD">
              <w:rPr>
                <w:bCs/>
              </w:rPr>
              <w:t>Инвестсельстрой</w:t>
            </w:r>
            <w:proofErr w:type="spellEnd"/>
            <w:r w:rsidR="00AB5EAD">
              <w:rPr>
                <w:bCs/>
              </w:rPr>
              <w:t>»</w:t>
            </w:r>
          </w:p>
          <w:p w:rsidR="00AE4530" w:rsidRPr="003C0AB3" w:rsidRDefault="00AE4530" w:rsidP="00AB5EAD">
            <w:pPr>
              <w:jc w:val="both"/>
              <w:rPr>
                <w:bCs/>
              </w:rPr>
            </w:pPr>
          </w:p>
        </w:tc>
        <w:tc>
          <w:tcPr>
            <w:tcW w:w="1701" w:type="dxa"/>
          </w:tcPr>
          <w:p w:rsidR="00424D80" w:rsidRDefault="00424D80" w:rsidP="00424D80">
            <w:pPr>
              <w:pStyle w:val="af5"/>
              <w:ind w:firstLine="0"/>
              <w:rPr>
                <w:sz w:val="24"/>
                <w:szCs w:val="24"/>
              </w:rPr>
            </w:pPr>
            <w:proofErr w:type="gramStart"/>
            <w:r>
              <w:rPr>
                <w:sz w:val="24"/>
                <w:szCs w:val="24"/>
              </w:rPr>
              <w:lastRenderedPageBreak/>
              <w:t>И</w:t>
            </w:r>
            <w:r w:rsidRPr="00FF7B12">
              <w:rPr>
                <w:sz w:val="24"/>
                <w:szCs w:val="24"/>
              </w:rPr>
              <w:t>сполняющая</w:t>
            </w:r>
            <w:proofErr w:type="gramEnd"/>
            <w:r w:rsidRPr="00FF7B12">
              <w:rPr>
                <w:sz w:val="24"/>
                <w:szCs w:val="24"/>
              </w:rPr>
              <w:t xml:space="preserve"> обязанности генерального директора АНО АО «Агентство регионального развития»</w:t>
            </w:r>
          </w:p>
          <w:p w:rsidR="00424D80" w:rsidRPr="00B801AA" w:rsidRDefault="00231484" w:rsidP="00424D80">
            <w:proofErr w:type="spellStart"/>
            <w:r w:rsidRPr="00231484">
              <w:t>Тодрик</w:t>
            </w:r>
            <w:proofErr w:type="spellEnd"/>
            <w:r w:rsidRPr="00231484">
              <w:t xml:space="preserve"> А</w:t>
            </w:r>
            <w:r>
              <w:t>.В.</w:t>
            </w:r>
            <w:r w:rsidR="00424D80">
              <w:t>,</w:t>
            </w:r>
            <w:r w:rsidRPr="00231484">
              <w:t xml:space="preserve"> </w:t>
            </w:r>
            <w:r w:rsidR="00424D80" w:rsidRPr="00B801AA">
              <w:t>руковод</w:t>
            </w:r>
            <w:proofErr w:type="gramStart"/>
            <w:r w:rsidR="00424D80" w:rsidRPr="00B801AA">
              <w:t>и</w:t>
            </w:r>
            <w:r w:rsidR="00D147DF">
              <w:t>-</w:t>
            </w:r>
            <w:proofErr w:type="gramEnd"/>
            <w:r w:rsidR="00D147DF">
              <w:t xml:space="preserve"> </w:t>
            </w:r>
            <w:proofErr w:type="spellStart"/>
            <w:r w:rsidR="00424D80" w:rsidRPr="00B801AA">
              <w:t>тель</w:t>
            </w:r>
            <w:proofErr w:type="spellEnd"/>
            <w:r w:rsidR="00424D80" w:rsidRPr="00B801AA">
              <w:t xml:space="preserve"> по направлению </w:t>
            </w:r>
            <w:proofErr w:type="spellStart"/>
            <w:r w:rsidR="00424D80" w:rsidRPr="00B801AA">
              <w:t>инвестицион</w:t>
            </w:r>
            <w:r w:rsidR="00D147DF">
              <w:t>-</w:t>
            </w:r>
            <w:r w:rsidR="00424D80" w:rsidRPr="00B801AA">
              <w:t>н</w:t>
            </w:r>
            <w:r w:rsidR="00424D80">
              <w:t>ой</w:t>
            </w:r>
            <w:proofErr w:type="spellEnd"/>
            <w:r w:rsidR="00424D80">
              <w:t xml:space="preserve"> и </w:t>
            </w:r>
            <w:proofErr w:type="spellStart"/>
            <w:r w:rsidR="00424D80">
              <w:t>инновацион</w:t>
            </w:r>
            <w:r w:rsidR="00D147DF">
              <w:t>-</w:t>
            </w:r>
            <w:r w:rsidR="00424D80">
              <w:t>ной</w:t>
            </w:r>
            <w:proofErr w:type="spellEnd"/>
            <w:r w:rsidR="00424D80">
              <w:t xml:space="preserve"> деятельности</w:t>
            </w:r>
            <w:r w:rsidR="00424D80" w:rsidRPr="00FF7B12">
              <w:t xml:space="preserve"> АНО АО «Агентство </w:t>
            </w:r>
            <w:proofErr w:type="spellStart"/>
            <w:r w:rsidR="00424D80" w:rsidRPr="00FF7B12">
              <w:t>регионально</w:t>
            </w:r>
            <w:r w:rsidR="00D147DF">
              <w:t>-</w:t>
            </w:r>
            <w:r w:rsidR="00424D80" w:rsidRPr="00FF7B12">
              <w:t>го</w:t>
            </w:r>
            <w:proofErr w:type="spellEnd"/>
            <w:r w:rsidR="00424D80" w:rsidRPr="00FF7B12">
              <w:t xml:space="preserve"> развития»</w:t>
            </w:r>
          </w:p>
          <w:p w:rsidR="00D147DF" w:rsidRPr="00B801AA" w:rsidRDefault="00D147DF" w:rsidP="00D147DF">
            <w:pPr>
              <w:jc w:val="both"/>
            </w:pPr>
            <w:proofErr w:type="spellStart"/>
            <w:r w:rsidRPr="00B801AA">
              <w:t>Митенева</w:t>
            </w:r>
            <w:proofErr w:type="spellEnd"/>
            <w:r w:rsidRPr="00B801AA">
              <w:t xml:space="preserve"> </w:t>
            </w:r>
          </w:p>
          <w:p w:rsidR="000608F4" w:rsidRDefault="00D147DF" w:rsidP="000608F4">
            <w:pPr>
              <w:pStyle w:val="af5"/>
              <w:ind w:firstLine="0"/>
              <w:rPr>
                <w:bCs/>
                <w:sz w:val="24"/>
                <w:szCs w:val="24"/>
              </w:rPr>
            </w:pPr>
            <w:r w:rsidRPr="00B801AA">
              <w:rPr>
                <w:sz w:val="24"/>
                <w:szCs w:val="24"/>
              </w:rPr>
              <w:t>Н</w:t>
            </w:r>
            <w:r>
              <w:t>.</w:t>
            </w:r>
            <w:r w:rsidRPr="00B801AA">
              <w:rPr>
                <w:sz w:val="24"/>
                <w:szCs w:val="24"/>
              </w:rPr>
              <w:t>В</w:t>
            </w:r>
            <w:r>
              <w:t>.</w:t>
            </w:r>
            <w:r w:rsidR="000608F4">
              <w:t xml:space="preserve">, </w:t>
            </w:r>
            <w:r w:rsidR="000608F4" w:rsidRPr="00FF7B12">
              <w:rPr>
                <w:sz w:val="24"/>
                <w:szCs w:val="24"/>
              </w:rPr>
              <w:t>руководитель</w:t>
            </w:r>
            <w:r w:rsidR="000608F4" w:rsidRPr="00FF7B12">
              <w:rPr>
                <w:bCs/>
                <w:sz w:val="24"/>
                <w:szCs w:val="24"/>
              </w:rPr>
              <w:t xml:space="preserve"> Центра компетенции в сфере сельскохозяйственной </w:t>
            </w:r>
            <w:r w:rsidR="000608F4" w:rsidRPr="00FF7B12">
              <w:rPr>
                <w:bCs/>
                <w:sz w:val="24"/>
                <w:szCs w:val="24"/>
              </w:rPr>
              <w:lastRenderedPageBreak/>
              <w:t>кооперации и поддержки фермеров</w:t>
            </w:r>
          </w:p>
          <w:p w:rsidR="00D147DF" w:rsidRPr="00B801AA" w:rsidRDefault="000608F4" w:rsidP="00D147DF">
            <w:pPr>
              <w:jc w:val="both"/>
            </w:pPr>
            <w:proofErr w:type="spellStart"/>
            <w:r>
              <w:t>Воронская</w:t>
            </w:r>
            <w:proofErr w:type="spellEnd"/>
            <w:r>
              <w:t xml:space="preserve"> Л.А.</w:t>
            </w:r>
          </w:p>
          <w:p w:rsidR="00F30FB7" w:rsidRPr="003C0AB3" w:rsidRDefault="00F30FB7" w:rsidP="00424D80">
            <w:pPr>
              <w:jc w:val="both"/>
            </w:pPr>
          </w:p>
        </w:tc>
        <w:tc>
          <w:tcPr>
            <w:tcW w:w="4961" w:type="dxa"/>
          </w:tcPr>
          <w:p w:rsidR="00EA472A" w:rsidRPr="00EA472A" w:rsidRDefault="00EA472A" w:rsidP="003542B2">
            <w:pPr>
              <w:pStyle w:val="ConsPlusTitle"/>
              <w:ind w:firstLine="317"/>
              <w:jc w:val="both"/>
              <w:rPr>
                <w:b w:val="0"/>
                <w:sz w:val="24"/>
                <w:szCs w:val="24"/>
              </w:rPr>
            </w:pPr>
            <w:proofErr w:type="gramStart"/>
            <w:r>
              <w:rPr>
                <w:b w:val="0"/>
                <w:sz w:val="24"/>
                <w:szCs w:val="24"/>
              </w:rPr>
              <w:lastRenderedPageBreak/>
              <w:t xml:space="preserve">Заслушали информацию </w:t>
            </w:r>
            <w:r w:rsidR="00940165">
              <w:rPr>
                <w:b w:val="0"/>
                <w:sz w:val="24"/>
                <w:szCs w:val="24"/>
              </w:rPr>
              <w:t xml:space="preserve">об </w:t>
            </w:r>
            <w:r w:rsidRPr="00EA472A">
              <w:rPr>
                <w:b w:val="0"/>
                <w:sz w:val="24"/>
                <w:szCs w:val="24"/>
              </w:rPr>
              <w:t>оказани</w:t>
            </w:r>
            <w:r w:rsidR="00940165">
              <w:rPr>
                <w:b w:val="0"/>
                <w:sz w:val="24"/>
                <w:szCs w:val="24"/>
              </w:rPr>
              <w:t>и</w:t>
            </w:r>
            <w:r w:rsidRPr="00EA472A">
              <w:rPr>
                <w:b w:val="0"/>
                <w:sz w:val="24"/>
                <w:szCs w:val="24"/>
              </w:rPr>
              <w:t xml:space="preserve"> </w:t>
            </w:r>
            <w:r w:rsidR="003542B2">
              <w:rPr>
                <w:b w:val="0"/>
                <w:sz w:val="24"/>
                <w:szCs w:val="24"/>
              </w:rPr>
              <w:t xml:space="preserve">               </w:t>
            </w:r>
            <w:r w:rsidRPr="00EA472A">
              <w:rPr>
                <w:b w:val="0"/>
                <w:sz w:val="24"/>
                <w:szCs w:val="24"/>
              </w:rPr>
              <w:t xml:space="preserve">мер поддержки по вопросам </w:t>
            </w:r>
            <w:r w:rsidR="003542B2">
              <w:rPr>
                <w:b w:val="0"/>
                <w:sz w:val="24"/>
                <w:szCs w:val="24"/>
              </w:rPr>
              <w:t xml:space="preserve">                                  </w:t>
            </w:r>
            <w:r w:rsidRPr="00EA472A">
              <w:rPr>
                <w:b w:val="0"/>
                <w:sz w:val="24"/>
                <w:szCs w:val="24"/>
              </w:rPr>
              <w:t xml:space="preserve">ведения предпринимательской деятельности (налогообложение, ведение бухгалтерского учета, финансовое планирование, </w:t>
            </w:r>
            <w:r w:rsidR="003542B2">
              <w:rPr>
                <w:b w:val="0"/>
                <w:sz w:val="24"/>
                <w:szCs w:val="24"/>
              </w:rPr>
              <w:t xml:space="preserve">     </w:t>
            </w:r>
            <w:r w:rsidRPr="00EA472A">
              <w:rPr>
                <w:b w:val="0"/>
                <w:sz w:val="24"/>
                <w:szCs w:val="24"/>
              </w:rPr>
              <w:t>применение трудового законодательства, консультирование в области права, проведение обучающих мероприятий, услуги по защите прав интеллектуальной собственности и иные услуги)</w:t>
            </w:r>
            <w:r w:rsidR="00940165">
              <w:rPr>
                <w:b w:val="0"/>
                <w:sz w:val="24"/>
                <w:szCs w:val="24"/>
              </w:rPr>
              <w:t xml:space="preserve">, а также                       о </w:t>
            </w:r>
            <w:r w:rsidRPr="00EA472A">
              <w:rPr>
                <w:b w:val="0"/>
                <w:sz w:val="24"/>
                <w:szCs w:val="24"/>
              </w:rPr>
              <w:t xml:space="preserve"> форм</w:t>
            </w:r>
            <w:r w:rsidR="00940165">
              <w:rPr>
                <w:b w:val="0"/>
                <w:sz w:val="24"/>
                <w:szCs w:val="24"/>
              </w:rPr>
              <w:t>ах</w:t>
            </w:r>
            <w:r w:rsidRPr="00EA472A">
              <w:rPr>
                <w:b w:val="0"/>
                <w:sz w:val="24"/>
                <w:szCs w:val="24"/>
              </w:rPr>
              <w:t xml:space="preserve"> оказания мер государственной поддержки, включая финансовые меры поддержки инвесторам (приоритетные инвестиционные проекты, масштабные проекты в сфере строительства, инвестиционные проекты резидентов</w:t>
            </w:r>
            <w:proofErr w:type="gramEnd"/>
            <w:r w:rsidRPr="00EA472A">
              <w:rPr>
                <w:b w:val="0"/>
                <w:sz w:val="24"/>
                <w:szCs w:val="24"/>
              </w:rPr>
              <w:t xml:space="preserve"> </w:t>
            </w:r>
            <w:proofErr w:type="gramStart"/>
            <w:r w:rsidRPr="00EA472A">
              <w:rPr>
                <w:b w:val="0"/>
                <w:sz w:val="24"/>
                <w:szCs w:val="24"/>
              </w:rPr>
              <w:t xml:space="preserve">Арктической зоны РФ, иные </w:t>
            </w:r>
            <w:r w:rsidR="003542B2">
              <w:rPr>
                <w:b w:val="0"/>
                <w:sz w:val="24"/>
                <w:szCs w:val="24"/>
              </w:rPr>
              <w:t xml:space="preserve">                </w:t>
            </w:r>
            <w:r w:rsidRPr="00EA472A">
              <w:rPr>
                <w:b w:val="0"/>
                <w:sz w:val="24"/>
                <w:szCs w:val="24"/>
              </w:rPr>
              <w:t>инвестиционные проекты)</w:t>
            </w:r>
            <w:r w:rsidR="005D2AEB">
              <w:rPr>
                <w:b w:val="0"/>
                <w:sz w:val="24"/>
                <w:szCs w:val="24"/>
              </w:rPr>
              <w:t xml:space="preserve">, о </w:t>
            </w:r>
            <w:r w:rsidRPr="00EA472A">
              <w:rPr>
                <w:b w:val="0"/>
                <w:sz w:val="24"/>
                <w:szCs w:val="24"/>
              </w:rPr>
              <w:t>развити</w:t>
            </w:r>
            <w:r w:rsidR="005D2AEB">
              <w:rPr>
                <w:b w:val="0"/>
                <w:sz w:val="24"/>
                <w:szCs w:val="24"/>
              </w:rPr>
              <w:t>и</w:t>
            </w:r>
            <w:r w:rsidRPr="00EA472A">
              <w:rPr>
                <w:b w:val="0"/>
                <w:sz w:val="24"/>
                <w:szCs w:val="24"/>
              </w:rPr>
              <w:t xml:space="preserve"> государственно-частного партнерства (финансовые механизмы, организационная, информационная и юридическая поддержка)</w:t>
            </w:r>
            <w:r w:rsidR="005D2AEB">
              <w:rPr>
                <w:b w:val="0"/>
                <w:sz w:val="24"/>
                <w:szCs w:val="24"/>
              </w:rPr>
              <w:t>,</w:t>
            </w:r>
            <w:r w:rsidRPr="00EA472A">
              <w:rPr>
                <w:b w:val="0"/>
                <w:sz w:val="24"/>
                <w:szCs w:val="24"/>
              </w:rPr>
              <w:t xml:space="preserve">  </w:t>
            </w:r>
            <w:proofErr w:type="gramEnd"/>
          </w:p>
          <w:p w:rsidR="001A2250" w:rsidRDefault="005D2AEB" w:rsidP="007B4344">
            <w:pPr>
              <w:pStyle w:val="ConsPlusTitle"/>
              <w:jc w:val="both"/>
              <w:rPr>
                <w:b w:val="0"/>
                <w:sz w:val="24"/>
                <w:szCs w:val="24"/>
              </w:rPr>
            </w:pPr>
            <w:proofErr w:type="gramStart"/>
            <w:r>
              <w:rPr>
                <w:b w:val="0"/>
                <w:sz w:val="24"/>
                <w:szCs w:val="24"/>
              </w:rPr>
              <w:t xml:space="preserve">о </w:t>
            </w:r>
            <w:r w:rsidR="00EA472A" w:rsidRPr="00EA472A">
              <w:rPr>
                <w:b w:val="0"/>
                <w:sz w:val="24"/>
                <w:szCs w:val="24"/>
              </w:rPr>
              <w:t>поддержк</w:t>
            </w:r>
            <w:r>
              <w:rPr>
                <w:b w:val="0"/>
                <w:sz w:val="24"/>
                <w:szCs w:val="24"/>
              </w:rPr>
              <w:t>е</w:t>
            </w:r>
            <w:r w:rsidR="00EA472A" w:rsidRPr="00EA472A">
              <w:rPr>
                <w:b w:val="0"/>
                <w:sz w:val="24"/>
                <w:szCs w:val="24"/>
              </w:rPr>
              <w:t xml:space="preserve"> экспорта (оказание консультационной и организационной поддержки в виде содействия в размещении субъектов МСП на международных торговых площадках, сопровождение экспортного контракта, организация и проведение международных </w:t>
            </w:r>
            <w:proofErr w:type="spellStart"/>
            <w:r w:rsidR="00EA472A" w:rsidRPr="00EA472A">
              <w:rPr>
                <w:b w:val="0"/>
                <w:sz w:val="24"/>
                <w:szCs w:val="24"/>
              </w:rPr>
              <w:t>бизнес-миссий</w:t>
            </w:r>
            <w:proofErr w:type="spellEnd"/>
            <w:r w:rsidR="00EA472A" w:rsidRPr="00EA472A">
              <w:rPr>
                <w:b w:val="0"/>
                <w:sz w:val="24"/>
                <w:szCs w:val="24"/>
              </w:rPr>
              <w:t>)</w:t>
            </w:r>
            <w:r>
              <w:rPr>
                <w:b w:val="0"/>
                <w:sz w:val="24"/>
                <w:szCs w:val="24"/>
              </w:rPr>
              <w:t xml:space="preserve">, </w:t>
            </w:r>
            <w:r w:rsidR="007B4344">
              <w:rPr>
                <w:b w:val="0"/>
                <w:sz w:val="24"/>
                <w:szCs w:val="24"/>
              </w:rPr>
              <w:t xml:space="preserve">о </w:t>
            </w:r>
            <w:r w:rsidR="00EA472A" w:rsidRPr="00EA472A">
              <w:rPr>
                <w:b w:val="0"/>
                <w:sz w:val="24"/>
                <w:szCs w:val="24"/>
              </w:rPr>
              <w:t>работ</w:t>
            </w:r>
            <w:r w:rsidR="007B4344">
              <w:rPr>
                <w:b w:val="0"/>
                <w:sz w:val="24"/>
                <w:szCs w:val="24"/>
              </w:rPr>
              <w:t>е</w:t>
            </w:r>
            <w:r w:rsidR="00EA472A" w:rsidRPr="00EA472A">
              <w:rPr>
                <w:b w:val="0"/>
                <w:sz w:val="24"/>
                <w:szCs w:val="24"/>
              </w:rPr>
              <w:t xml:space="preserve"> </w:t>
            </w:r>
            <w:r w:rsidR="00212A96">
              <w:rPr>
                <w:b w:val="0"/>
                <w:sz w:val="24"/>
                <w:szCs w:val="24"/>
              </w:rPr>
              <w:t xml:space="preserve">              </w:t>
            </w:r>
            <w:r w:rsidR="00EA472A" w:rsidRPr="00EA472A">
              <w:rPr>
                <w:b w:val="0"/>
                <w:sz w:val="24"/>
                <w:szCs w:val="24"/>
              </w:rPr>
              <w:t xml:space="preserve">по созданию кластеров развития; </w:t>
            </w:r>
            <w:r w:rsidR="007B4344">
              <w:rPr>
                <w:b w:val="0"/>
                <w:sz w:val="24"/>
                <w:szCs w:val="24"/>
              </w:rPr>
              <w:t xml:space="preserve">о </w:t>
            </w:r>
            <w:r w:rsidR="00EA472A" w:rsidRPr="00EA472A">
              <w:rPr>
                <w:b w:val="0"/>
                <w:sz w:val="24"/>
                <w:szCs w:val="24"/>
              </w:rPr>
              <w:t>работ</w:t>
            </w:r>
            <w:r w:rsidR="007B4344">
              <w:rPr>
                <w:b w:val="0"/>
                <w:sz w:val="24"/>
                <w:szCs w:val="24"/>
              </w:rPr>
              <w:t>е</w:t>
            </w:r>
            <w:r w:rsidR="00EA472A" w:rsidRPr="00EA472A">
              <w:rPr>
                <w:b w:val="0"/>
                <w:sz w:val="24"/>
                <w:szCs w:val="24"/>
              </w:rPr>
              <w:t xml:space="preserve"> </w:t>
            </w:r>
            <w:r w:rsidR="00EA472A" w:rsidRPr="00EA472A">
              <w:rPr>
                <w:b w:val="0"/>
                <w:sz w:val="24"/>
                <w:szCs w:val="24"/>
              </w:rPr>
              <w:lastRenderedPageBreak/>
              <w:t>Инновационного центра (консультации по получению статуса резидента, размещение проекта резидента, размещение информации о проекте резидента, подготовка и реализация плана мероприятий по сопровождению проекта резидента);</w:t>
            </w:r>
            <w:proofErr w:type="gramEnd"/>
            <w:r w:rsidR="00EA472A" w:rsidRPr="00EA472A">
              <w:rPr>
                <w:b w:val="0"/>
                <w:sz w:val="24"/>
                <w:szCs w:val="24"/>
              </w:rPr>
              <w:t xml:space="preserve"> </w:t>
            </w:r>
            <w:proofErr w:type="gramStart"/>
            <w:r w:rsidR="007B4344">
              <w:rPr>
                <w:b w:val="0"/>
                <w:sz w:val="24"/>
                <w:szCs w:val="24"/>
              </w:rPr>
              <w:t xml:space="preserve">о </w:t>
            </w:r>
            <w:r w:rsidR="00EA472A" w:rsidRPr="00EA472A">
              <w:rPr>
                <w:b w:val="0"/>
                <w:sz w:val="24"/>
                <w:szCs w:val="24"/>
              </w:rPr>
              <w:t>взаимодействи</w:t>
            </w:r>
            <w:r w:rsidR="007B4344">
              <w:rPr>
                <w:b w:val="0"/>
                <w:sz w:val="24"/>
                <w:szCs w:val="24"/>
              </w:rPr>
              <w:t>и</w:t>
            </w:r>
            <w:r w:rsidR="00EA472A" w:rsidRPr="00EA472A">
              <w:rPr>
                <w:b w:val="0"/>
                <w:sz w:val="24"/>
                <w:szCs w:val="24"/>
              </w:rPr>
              <w:t xml:space="preserve"> </w:t>
            </w:r>
            <w:r w:rsidR="007B4344">
              <w:rPr>
                <w:b w:val="0"/>
                <w:sz w:val="24"/>
                <w:szCs w:val="24"/>
              </w:rPr>
              <w:t xml:space="preserve">                   </w:t>
            </w:r>
            <w:r w:rsidR="00EA472A" w:rsidRPr="00EA472A">
              <w:rPr>
                <w:b w:val="0"/>
                <w:sz w:val="24"/>
                <w:szCs w:val="24"/>
              </w:rPr>
              <w:t xml:space="preserve">с муниципальными образованиями Архангельской области по развитию бизнес проектов на их территориях (организация </w:t>
            </w:r>
            <w:r w:rsidR="00212A96">
              <w:rPr>
                <w:b w:val="0"/>
                <w:sz w:val="24"/>
                <w:szCs w:val="24"/>
              </w:rPr>
              <w:t xml:space="preserve">                 </w:t>
            </w:r>
            <w:r w:rsidR="00EA472A" w:rsidRPr="00EA472A">
              <w:rPr>
                <w:b w:val="0"/>
                <w:sz w:val="24"/>
                <w:szCs w:val="24"/>
              </w:rPr>
              <w:t xml:space="preserve">и проведение мероприятий на территориях муниципальных образований, содействие                      в подготовке стратегии плана развития проектов на территориях муниципальных образований, оказание консультационной </w:t>
            </w:r>
            <w:r w:rsidR="00212A96">
              <w:rPr>
                <w:b w:val="0"/>
                <w:sz w:val="24"/>
                <w:szCs w:val="24"/>
              </w:rPr>
              <w:t xml:space="preserve">               </w:t>
            </w:r>
            <w:r w:rsidR="00EA472A" w:rsidRPr="00EA472A">
              <w:rPr>
                <w:b w:val="0"/>
                <w:sz w:val="24"/>
                <w:szCs w:val="24"/>
              </w:rPr>
              <w:t>и организационной поддержки, в том числе при оформлении заявок на получение финансовых ресурсов, предоставляемых федеральными и региональными  институтами развития и кредитно-финансовыми организациями).</w:t>
            </w:r>
            <w:proofErr w:type="gramEnd"/>
          </w:p>
          <w:p w:rsidR="000608F4" w:rsidRDefault="0082037E" w:rsidP="00CD2C94">
            <w:pPr>
              <w:pStyle w:val="ConsPlusTitle"/>
              <w:ind w:firstLine="317"/>
              <w:jc w:val="both"/>
              <w:rPr>
                <w:b w:val="0"/>
                <w:sz w:val="24"/>
                <w:szCs w:val="24"/>
              </w:rPr>
            </w:pPr>
            <w:proofErr w:type="gramStart"/>
            <w:r>
              <w:rPr>
                <w:b w:val="0"/>
                <w:sz w:val="24"/>
                <w:szCs w:val="24"/>
              </w:rPr>
              <w:t xml:space="preserve">Заслушали информацию о </w:t>
            </w:r>
            <w:r w:rsidRPr="0082037E">
              <w:rPr>
                <w:b w:val="0"/>
                <w:sz w:val="24"/>
                <w:szCs w:val="24"/>
              </w:rPr>
              <w:t>предоставлени</w:t>
            </w:r>
            <w:r>
              <w:rPr>
                <w:b w:val="0"/>
                <w:sz w:val="24"/>
                <w:szCs w:val="24"/>
              </w:rPr>
              <w:t>и</w:t>
            </w:r>
            <w:r w:rsidRPr="0082037E">
              <w:rPr>
                <w:b w:val="0"/>
                <w:sz w:val="24"/>
                <w:szCs w:val="24"/>
              </w:rPr>
              <w:t xml:space="preserve"> информационных, консультационных </w:t>
            </w:r>
            <w:r w:rsidR="00543284">
              <w:rPr>
                <w:b w:val="0"/>
                <w:sz w:val="24"/>
                <w:szCs w:val="24"/>
              </w:rPr>
              <w:t xml:space="preserve">                         </w:t>
            </w:r>
            <w:r w:rsidRPr="0082037E">
              <w:rPr>
                <w:b w:val="0"/>
                <w:sz w:val="24"/>
                <w:szCs w:val="24"/>
              </w:rPr>
              <w:t>и методических услуг, оказани</w:t>
            </w:r>
            <w:r w:rsidR="00543284">
              <w:rPr>
                <w:b w:val="0"/>
                <w:sz w:val="24"/>
                <w:szCs w:val="24"/>
              </w:rPr>
              <w:t>и</w:t>
            </w:r>
            <w:r w:rsidRPr="0082037E">
              <w:rPr>
                <w:b w:val="0"/>
                <w:sz w:val="24"/>
                <w:szCs w:val="24"/>
              </w:rPr>
              <w:t xml:space="preserve"> мер государственной поддержки субъектам МСП, работающим в сфере сельского хозяйства, </w:t>
            </w:r>
            <w:r w:rsidR="00543284">
              <w:rPr>
                <w:b w:val="0"/>
                <w:sz w:val="24"/>
                <w:szCs w:val="24"/>
              </w:rPr>
              <w:t xml:space="preserve">                  о </w:t>
            </w:r>
            <w:r w:rsidRPr="0082037E">
              <w:rPr>
                <w:b w:val="0"/>
                <w:sz w:val="24"/>
                <w:szCs w:val="24"/>
              </w:rPr>
              <w:t>льготны</w:t>
            </w:r>
            <w:r w:rsidR="00543284">
              <w:rPr>
                <w:b w:val="0"/>
                <w:sz w:val="24"/>
                <w:szCs w:val="24"/>
              </w:rPr>
              <w:t>х</w:t>
            </w:r>
            <w:r w:rsidRPr="0082037E">
              <w:rPr>
                <w:b w:val="0"/>
                <w:sz w:val="24"/>
                <w:szCs w:val="24"/>
              </w:rPr>
              <w:t xml:space="preserve"> программ</w:t>
            </w:r>
            <w:r w:rsidR="00543284">
              <w:rPr>
                <w:b w:val="0"/>
                <w:sz w:val="24"/>
                <w:szCs w:val="24"/>
              </w:rPr>
              <w:t>ах</w:t>
            </w:r>
            <w:r w:rsidRPr="0082037E">
              <w:rPr>
                <w:b w:val="0"/>
                <w:sz w:val="24"/>
                <w:szCs w:val="24"/>
              </w:rPr>
              <w:t xml:space="preserve"> кредитования субъектов МСП, </w:t>
            </w:r>
            <w:r w:rsidR="00543284">
              <w:rPr>
                <w:b w:val="0"/>
                <w:sz w:val="24"/>
                <w:szCs w:val="24"/>
              </w:rPr>
              <w:t xml:space="preserve">о </w:t>
            </w:r>
            <w:r w:rsidRPr="0082037E">
              <w:rPr>
                <w:b w:val="0"/>
                <w:sz w:val="24"/>
                <w:szCs w:val="24"/>
              </w:rPr>
              <w:t>льготны</w:t>
            </w:r>
            <w:r w:rsidR="00543284">
              <w:rPr>
                <w:b w:val="0"/>
                <w:sz w:val="24"/>
                <w:szCs w:val="24"/>
              </w:rPr>
              <w:t>х</w:t>
            </w:r>
            <w:r w:rsidRPr="0082037E">
              <w:rPr>
                <w:b w:val="0"/>
                <w:sz w:val="24"/>
                <w:szCs w:val="24"/>
              </w:rPr>
              <w:t xml:space="preserve"> лизинговы</w:t>
            </w:r>
            <w:r w:rsidR="00543284">
              <w:rPr>
                <w:b w:val="0"/>
                <w:sz w:val="24"/>
                <w:szCs w:val="24"/>
              </w:rPr>
              <w:t>х</w:t>
            </w:r>
            <w:r w:rsidRPr="0082037E">
              <w:rPr>
                <w:b w:val="0"/>
                <w:sz w:val="24"/>
                <w:szCs w:val="24"/>
              </w:rPr>
              <w:t xml:space="preserve"> программ</w:t>
            </w:r>
            <w:r w:rsidR="00543284">
              <w:rPr>
                <w:b w:val="0"/>
                <w:sz w:val="24"/>
                <w:szCs w:val="24"/>
              </w:rPr>
              <w:t>ах</w:t>
            </w:r>
            <w:r w:rsidRPr="0082037E">
              <w:rPr>
                <w:b w:val="0"/>
                <w:sz w:val="24"/>
                <w:szCs w:val="24"/>
              </w:rPr>
              <w:t xml:space="preserve">, </w:t>
            </w:r>
            <w:r w:rsidR="00CD2C94">
              <w:rPr>
                <w:b w:val="0"/>
                <w:sz w:val="24"/>
                <w:szCs w:val="24"/>
              </w:rPr>
              <w:t xml:space="preserve">о </w:t>
            </w:r>
            <w:r w:rsidRPr="0082037E">
              <w:rPr>
                <w:b w:val="0"/>
                <w:sz w:val="24"/>
                <w:szCs w:val="24"/>
              </w:rPr>
              <w:t>мер</w:t>
            </w:r>
            <w:r w:rsidR="00CD2C94">
              <w:rPr>
                <w:b w:val="0"/>
                <w:sz w:val="24"/>
                <w:szCs w:val="24"/>
              </w:rPr>
              <w:t>ах</w:t>
            </w:r>
            <w:r w:rsidRPr="0082037E">
              <w:rPr>
                <w:b w:val="0"/>
                <w:sz w:val="24"/>
                <w:szCs w:val="24"/>
              </w:rPr>
              <w:t xml:space="preserve"> поддержки граждан, планирующих заняться бизнесом в сфере сельского хозяйства (для владельцев ЛПХ), </w:t>
            </w:r>
            <w:r w:rsidR="00CD2C94">
              <w:rPr>
                <w:b w:val="0"/>
                <w:sz w:val="24"/>
                <w:szCs w:val="24"/>
              </w:rPr>
              <w:t xml:space="preserve">              о </w:t>
            </w:r>
            <w:r w:rsidRPr="0082037E">
              <w:rPr>
                <w:b w:val="0"/>
                <w:sz w:val="24"/>
                <w:szCs w:val="24"/>
              </w:rPr>
              <w:t>развити</w:t>
            </w:r>
            <w:r w:rsidR="00CD2C94">
              <w:rPr>
                <w:b w:val="0"/>
                <w:sz w:val="24"/>
                <w:szCs w:val="24"/>
              </w:rPr>
              <w:t>и</w:t>
            </w:r>
            <w:r w:rsidRPr="0082037E">
              <w:rPr>
                <w:b w:val="0"/>
                <w:sz w:val="24"/>
                <w:szCs w:val="24"/>
              </w:rPr>
              <w:t xml:space="preserve"> и оказани</w:t>
            </w:r>
            <w:r w:rsidR="00CD2C94">
              <w:rPr>
                <w:b w:val="0"/>
                <w:sz w:val="24"/>
                <w:szCs w:val="24"/>
              </w:rPr>
              <w:t>и</w:t>
            </w:r>
            <w:r w:rsidRPr="0082037E">
              <w:rPr>
                <w:b w:val="0"/>
                <w:sz w:val="24"/>
                <w:szCs w:val="24"/>
              </w:rPr>
              <w:t xml:space="preserve"> государственной поддержки сельскохозяйственных</w:t>
            </w:r>
            <w:r w:rsidR="00A054BB">
              <w:rPr>
                <w:b w:val="0"/>
                <w:sz w:val="24"/>
                <w:szCs w:val="24"/>
              </w:rPr>
              <w:t xml:space="preserve"> производителей.</w:t>
            </w:r>
            <w:proofErr w:type="gramEnd"/>
          </w:p>
          <w:p w:rsidR="000608F4" w:rsidRDefault="000608F4" w:rsidP="007B4344">
            <w:pPr>
              <w:pStyle w:val="ConsPlusTitle"/>
              <w:jc w:val="both"/>
              <w:rPr>
                <w:b w:val="0"/>
                <w:sz w:val="24"/>
                <w:szCs w:val="24"/>
              </w:rPr>
            </w:pPr>
          </w:p>
          <w:p w:rsidR="00CC36D4" w:rsidRDefault="00CC36D4" w:rsidP="007B4344">
            <w:pPr>
              <w:pStyle w:val="ConsPlusTitle"/>
              <w:jc w:val="both"/>
              <w:rPr>
                <w:b w:val="0"/>
                <w:sz w:val="24"/>
                <w:szCs w:val="24"/>
              </w:rPr>
            </w:pPr>
          </w:p>
          <w:p w:rsidR="00CC36D4" w:rsidRPr="00BF2EEC" w:rsidRDefault="00CC36D4" w:rsidP="007B4344">
            <w:pPr>
              <w:pStyle w:val="ConsPlusTitle"/>
              <w:jc w:val="both"/>
              <w:rPr>
                <w:b w:val="0"/>
                <w:sz w:val="24"/>
                <w:szCs w:val="24"/>
              </w:rPr>
            </w:pPr>
          </w:p>
        </w:tc>
        <w:tc>
          <w:tcPr>
            <w:tcW w:w="1843" w:type="dxa"/>
          </w:tcPr>
          <w:p w:rsidR="003C0AB3" w:rsidRPr="003C0AB3" w:rsidRDefault="00825F5A" w:rsidP="004543A4">
            <w:pPr>
              <w:pStyle w:val="a3"/>
              <w:ind w:left="-76" w:right="-56" w:firstLine="0"/>
              <w:jc w:val="center"/>
              <w:rPr>
                <w:sz w:val="24"/>
                <w:szCs w:val="24"/>
              </w:rPr>
            </w:pPr>
            <w:r>
              <w:rPr>
                <w:sz w:val="24"/>
                <w:szCs w:val="24"/>
              </w:rPr>
              <w:lastRenderedPageBreak/>
              <w:t>В</w:t>
            </w:r>
            <w:r w:rsidR="004543A4">
              <w:rPr>
                <w:sz w:val="24"/>
                <w:szCs w:val="24"/>
              </w:rPr>
              <w:t xml:space="preserve"> соответствии               с</w:t>
            </w:r>
            <w:r>
              <w:rPr>
                <w:sz w:val="24"/>
                <w:szCs w:val="24"/>
              </w:rPr>
              <w:t xml:space="preserve"> план</w:t>
            </w:r>
            <w:r w:rsidR="004543A4">
              <w:rPr>
                <w:sz w:val="24"/>
                <w:szCs w:val="24"/>
              </w:rPr>
              <w:t>ом</w:t>
            </w:r>
          </w:p>
        </w:tc>
        <w:tc>
          <w:tcPr>
            <w:tcW w:w="3544" w:type="dxa"/>
          </w:tcPr>
          <w:p w:rsidR="003C0AB3" w:rsidRPr="00416A54" w:rsidRDefault="00CC36D4" w:rsidP="00CC36D4">
            <w:pPr>
              <w:jc w:val="both"/>
            </w:pPr>
            <w:r w:rsidRPr="0063705A">
              <w:t xml:space="preserve">На основании </w:t>
            </w:r>
            <w:proofErr w:type="gramStart"/>
            <w:r w:rsidRPr="0063705A">
              <w:t>вышеизложенного</w:t>
            </w:r>
            <w:proofErr w:type="gramEnd"/>
            <w:r w:rsidRPr="0063705A">
              <w:t xml:space="preserve"> комитет </w:t>
            </w:r>
            <w:r>
              <w:t xml:space="preserve">                  </w:t>
            </w:r>
            <w:r w:rsidRPr="0063705A">
              <w:t xml:space="preserve">по вопросам бюджета, экономики, финансовой </w:t>
            </w:r>
            <w:r>
              <w:t xml:space="preserve">                         </w:t>
            </w:r>
            <w:r w:rsidRPr="0063705A">
              <w:t xml:space="preserve">и налоговой политике </w:t>
            </w:r>
            <w:r>
              <w:t>р</w:t>
            </w:r>
            <w:r w:rsidR="00497821">
              <w:t>ешил принять и</w:t>
            </w:r>
            <w:r w:rsidR="0053563F">
              <w:t xml:space="preserve">нформацию </w:t>
            </w:r>
            <w:r>
              <w:t>к</w:t>
            </w:r>
            <w:r w:rsidR="0053563F">
              <w:t xml:space="preserve"> сведению</w:t>
            </w:r>
            <w:r w:rsidR="00497821">
              <w:t>.</w:t>
            </w:r>
          </w:p>
        </w:tc>
      </w:tr>
      <w:tr w:rsidR="008351AF" w:rsidRPr="001B3D90" w:rsidTr="00AE4530">
        <w:trPr>
          <w:trHeight w:val="344"/>
        </w:trPr>
        <w:tc>
          <w:tcPr>
            <w:tcW w:w="817" w:type="dxa"/>
          </w:tcPr>
          <w:p w:rsidR="008351AF" w:rsidRDefault="008351AF" w:rsidP="002F3764">
            <w:pPr>
              <w:pStyle w:val="a3"/>
              <w:ind w:firstLine="0"/>
              <w:jc w:val="center"/>
              <w:rPr>
                <w:sz w:val="24"/>
                <w:szCs w:val="24"/>
              </w:rPr>
            </w:pPr>
            <w:r>
              <w:rPr>
                <w:sz w:val="24"/>
                <w:szCs w:val="24"/>
              </w:rPr>
              <w:lastRenderedPageBreak/>
              <w:t>4.</w:t>
            </w:r>
          </w:p>
        </w:tc>
        <w:tc>
          <w:tcPr>
            <w:tcW w:w="2552" w:type="dxa"/>
          </w:tcPr>
          <w:p w:rsidR="008351AF" w:rsidRPr="00FB4987" w:rsidRDefault="008351AF" w:rsidP="00AB5EAD">
            <w:pPr>
              <w:autoSpaceDE w:val="0"/>
              <w:autoSpaceDN w:val="0"/>
              <w:adjustRightInd w:val="0"/>
              <w:ind w:firstLine="317"/>
              <w:jc w:val="both"/>
              <w:rPr>
                <w:bCs/>
              </w:rPr>
            </w:pPr>
            <w:proofErr w:type="gramStart"/>
            <w:r w:rsidRPr="008A1FFF">
              <w:rPr>
                <w:bCs/>
              </w:rPr>
              <w:t xml:space="preserve">Рассмотрение информации </w:t>
            </w:r>
            <w:r>
              <w:rPr>
                <w:bCs/>
              </w:rPr>
              <w:t xml:space="preserve">                              </w:t>
            </w:r>
            <w:r w:rsidRPr="008A1FFF">
              <w:t xml:space="preserve">о применении контрольно-кассовой техники при осуществлении расчетов на территории Архангельской </w:t>
            </w:r>
            <w:r w:rsidRPr="00DD76FC">
              <w:t>области</w:t>
            </w:r>
            <w:r w:rsidRPr="00DD76FC">
              <w:rPr>
                <w:color w:val="000000"/>
              </w:rPr>
              <w:t xml:space="preserve"> </w:t>
            </w:r>
            <w:r w:rsidRPr="00DD76FC">
              <w:t>в</w:t>
            </w:r>
            <w:r w:rsidRPr="00DD76FC">
              <w:rPr>
                <w:szCs w:val="28"/>
              </w:rPr>
              <w:t xml:space="preserve"> </w:t>
            </w:r>
            <w:r w:rsidRPr="00DD76FC">
              <w:t>части изменений, которые внесены в Федеральный закон от 22 м</w:t>
            </w:r>
            <w:r>
              <w:t xml:space="preserve">ая 2003 года                         </w:t>
            </w:r>
            <w:r w:rsidRPr="00DD76FC">
              <w:t xml:space="preserve">№ 54-ФЗ </w:t>
            </w:r>
            <w:r>
              <w:t xml:space="preserve">                                       </w:t>
            </w:r>
            <w:r w:rsidRPr="00DD76FC">
              <w:t xml:space="preserve">«О применении контрольно-кассовой техники при осуществлении расчетов в Российской Федерации» и планируются к внесению проектом федерального закон </w:t>
            </w:r>
            <w:r>
              <w:t xml:space="preserve">       </w:t>
            </w:r>
            <w:r w:rsidRPr="00DD76FC">
              <w:rPr>
                <w:rFonts w:eastAsiaTheme="minorHAnsi"/>
                <w:bCs/>
                <w:color w:val="000000"/>
                <w:lang w:eastAsia="en-US"/>
              </w:rPr>
              <w:t xml:space="preserve">№ 500600-8 </w:t>
            </w:r>
            <w:r>
              <w:rPr>
                <w:rFonts w:eastAsiaTheme="minorHAnsi"/>
                <w:bCs/>
                <w:color w:val="000000"/>
                <w:lang w:eastAsia="en-US"/>
              </w:rPr>
              <w:t xml:space="preserve">                           </w:t>
            </w:r>
            <w:r w:rsidRPr="00DD76FC">
              <w:rPr>
                <w:rFonts w:eastAsiaTheme="minorHAnsi"/>
                <w:bCs/>
                <w:color w:val="000000"/>
                <w:lang w:eastAsia="en-US"/>
              </w:rPr>
              <w:t>«</w:t>
            </w:r>
            <w:r w:rsidRPr="00DD76FC">
              <w:rPr>
                <w:rFonts w:eastAsiaTheme="minorHAnsi"/>
                <w:bCs/>
                <w:lang w:eastAsia="en-US"/>
              </w:rPr>
              <w:t>О внесении изменений в Федераль</w:t>
            </w:r>
            <w:r>
              <w:rPr>
                <w:rFonts w:eastAsiaTheme="minorHAnsi"/>
                <w:bCs/>
                <w:lang w:eastAsia="en-US"/>
              </w:rPr>
              <w:t xml:space="preserve">ный закон </w:t>
            </w:r>
            <w:r w:rsidRPr="00DD76FC">
              <w:rPr>
                <w:rFonts w:eastAsiaTheme="minorHAnsi"/>
                <w:bCs/>
                <w:lang w:eastAsia="en-US"/>
              </w:rPr>
              <w:t>«О применении контрольно-кассовой техники при осуще</w:t>
            </w:r>
            <w:r>
              <w:rPr>
                <w:rFonts w:eastAsiaTheme="minorHAnsi"/>
                <w:bCs/>
                <w:lang w:eastAsia="en-US"/>
              </w:rPr>
              <w:t xml:space="preserve">ствлении расчетов </w:t>
            </w:r>
            <w:r w:rsidRPr="00DD76FC">
              <w:rPr>
                <w:rFonts w:eastAsiaTheme="minorHAnsi"/>
                <w:bCs/>
                <w:lang w:eastAsia="en-US"/>
              </w:rPr>
              <w:t>в Российской</w:t>
            </w:r>
            <w:proofErr w:type="gramEnd"/>
            <w:r w:rsidRPr="00DD76FC">
              <w:rPr>
                <w:rFonts w:eastAsiaTheme="minorHAnsi"/>
                <w:bCs/>
                <w:lang w:eastAsia="en-US"/>
              </w:rPr>
              <w:t xml:space="preserve"> Федерации»</w:t>
            </w:r>
          </w:p>
        </w:tc>
        <w:tc>
          <w:tcPr>
            <w:tcW w:w="1701" w:type="dxa"/>
          </w:tcPr>
          <w:p w:rsidR="003610B8" w:rsidRPr="00856AF4" w:rsidRDefault="003610B8" w:rsidP="003610B8">
            <w:pPr>
              <w:pStyle w:val="a3"/>
              <w:ind w:firstLine="0"/>
              <w:rPr>
                <w:sz w:val="24"/>
                <w:szCs w:val="24"/>
              </w:rPr>
            </w:pPr>
            <w:r>
              <w:rPr>
                <w:sz w:val="24"/>
                <w:szCs w:val="24"/>
              </w:rPr>
              <w:t>З</w:t>
            </w:r>
            <w:r w:rsidRPr="00856AF4">
              <w:rPr>
                <w:sz w:val="24"/>
                <w:szCs w:val="24"/>
              </w:rPr>
              <w:t>аместител</w:t>
            </w:r>
            <w:r>
              <w:rPr>
                <w:sz w:val="24"/>
                <w:szCs w:val="24"/>
              </w:rPr>
              <w:t>и</w:t>
            </w:r>
            <w:r w:rsidRPr="00856AF4">
              <w:rPr>
                <w:sz w:val="24"/>
                <w:szCs w:val="24"/>
              </w:rPr>
              <w:t xml:space="preserve"> руководителя Управления Федеральной налоговой службы</w:t>
            </w:r>
            <w:r>
              <w:rPr>
                <w:sz w:val="24"/>
                <w:szCs w:val="24"/>
              </w:rPr>
              <w:t xml:space="preserve"> России</w:t>
            </w:r>
            <w:r w:rsidRPr="00856AF4">
              <w:rPr>
                <w:sz w:val="24"/>
                <w:szCs w:val="24"/>
              </w:rPr>
              <w:t xml:space="preserve"> по </w:t>
            </w:r>
            <w:proofErr w:type="spellStart"/>
            <w:proofErr w:type="gramStart"/>
            <w:r w:rsidRPr="00856AF4">
              <w:rPr>
                <w:sz w:val="24"/>
                <w:szCs w:val="24"/>
              </w:rPr>
              <w:t>Архангель</w:t>
            </w:r>
            <w:r>
              <w:rPr>
                <w:sz w:val="24"/>
                <w:szCs w:val="24"/>
              </w:rPr>
              <w:t>-</w:t>
            </w:r>
            <w:r w:rsidRPr="00856AF4">
              <w:rPr>
                <w:sz w:val="24"/>
                <w:szCs w:val="24"/>
              </w:rPr>
              <w:t>ской</w:t>
            </w:r>
            <w:proofErr w:type="spellEnd"/>
            <w:proofErr w:type="gramEnd"/>
            <w:r w:rsidRPr="00856AF4">
              <w:rPr>
                <w:sz w:val="24"/>
                <w:szCs w:val="24"/>
              </w:rPr>
              <w:t xml:space="preserve"> области </w:t>
            </w:r>
            <w:r>
              <w:rPr>
                <w:sz w:val="24"/>
                <w:szCs w:val="24"/>
              </w:rPr>
              <w:t xml:space="preserve">                 </w:t>
            </w:r>
            <w:r w:rsidRPr="00856AF4">
              <w:rPr>
                <w:sz w:val="24"/>
                <w:szCs w:val="24"/>
              </w:rPr>
              <w:t xml:space="preserve">и Ненецкому автономному округу </w:t>
            </w:r>
          </w:p>
          <w:p w:rsidR="003610B8" w:rsidRDefault="003610B8" w:rsidP="003610B8">
            <w:pPr>
              <w:jc w:val="both"/>
              <w:rPr>
                <w:bCs/>
              </w:rPr>
            </w:pPr>
            <w:r>
              <w:rPr>
                <w:bCs/>
              </w:rPr>
              <w:t xml:space="preserve">Шахов </w:t>
            </w:r>
          </w:p>
          <w:p w:rsidR="008351AF" w:rsidRDefault="003610B8" w:rsidP="003610B8">
            <w:pPr>
              <w:pStyle w:val="af5"/>
              <w:ind w:firstLine="0"/>
              <w:rPr>
                <w:sz w:val="24"/>
                <w:szCs w:val="24"/>
              </w:rPr>
            </w:pPr>
            <w:r>
              <w:rPr>
                <w:bCs/>
                <w:sz w:val="24"/>
                <w:szCs w:val="24"/>
              </w:rPr>
              <w:t>М.В.</w:t>
            </w:r>
          </w:p>
        </w:tc>
        <w:tc>
          <w:tcPr>
            <w:tcW w:w="4961" w:type="dxa"/>
          </w:tcPr>
          <w:p w:rsidR="00994F65" w:rsidRPr="00994F65" w:rsidRDefault="00C861D2" w:rsidP="00994F65">
            <w:pPr>
              <w:pStyle w:val="ConsPlusTitle"/>
              <w:ind w:firstLine="317"/>
              <w:jc w:val="both"/>
              <w:rPr>
                <w:b w:val="0"/>
                <w:sz w:val="24"/>
                <w:szCs w:val="24"/>
              </w:rPr>
            </w:pPr>
            <w:r>
              <w:rPr>
                <w:b w:val="0"/>
                <w:sz w:val="24"/>
                <w:szCs w:val="24"/>
              </w:rPr>
              <w:t>Заслушали информацию о том, что с</w:t>
            </w:r>
            <w:r w:rsidR="00994F65" w:rsidRPr="00994F65">
              <w:rPr>
                <w:b w:val="0"/>
                <w:sz w:val="24"/>
                <w:szCs w:val="24"/>
              </w:rPr>
              <w:t xml:space="preserve"> 01.03.2022 федеральный государственный контроль (надзор) за соблюдением законодательства Российской Федерации </w:t>
            </w:r>
            <w:r>
              <w:rPr>
                <w:b w:val="0"/>
                <w:sz w:val="24"/>
                <w:szCs w:val="24"/>
              </w:rPr>
              <w:t xml:space="preserve">                  </w:t>
            </w:r>
            <w:r w:rsidR="00994F65" w:rsidRPr="00994F65">
              <w:rPr>
                <w:b w:val="0"/>
                <w:sz w:val="24"/>
                <w:szCs w:val="24"/>
              </w:rPr>
              <w:t>о применении контрольно-кассовой техники осуществляется</w:t>
            </w:r>
            <w:r>
              <w:rPr>
                <w:b w:val="0"/>
                <w:sz w:val="24"/>
                <w:szCs w:val="24"/>
              </w:rPr>
              <w:t xml:space="preserve"> </w:t>
            </w:r>
            <w:r w:rsidR="00994F65" w:rsidRPr="00994F65">
              <w:rPr>
                <w:b w:val="0"/>
                <w:sz w:val="24"/>
                <w:szCs w:val="24"/>
              </w:rPr>
              <w:t xml:space="preserve">в соответствии </w:t>
            </w:r>
            <w:r>
              <w:rPr>
                <w:b w:val="0"/>
                <w:sz w:val="24"/>
                <w:szCs w:val="24"/>
              </w:rPr>
              <w:t xml:space="preserve">                                 </w:t>
            </w:r>
            <w:r w:rsidR="00994F65" w:rsidRPr="00994F65">
              <w:rPr>
                <w:b w:val="0"/>
                <w:sz w:val="24"/>
                <w:szCs w:val="24"/>
              </w:rPr>
              <w:t xml:space="preserve">с требованиями Федерального закона </w:t>
            </w:r>
            <w:r>
              <w:rPr>
                <w:b w:val="0"/>
                <w:sz w:val="24"/>
                <w:szCs w:val="24"/>
              </w:rPr>
              <w:t xml:space="preserve">                     </w:t>
            </w:r>
            <w:r w:rsidR="00994F65" w:rsidRPr="00994F65">
              <w:rPr>
                <w:b w:val="0"/>
                <w:sz w:val="24"/>
                <w:szCs w:val="24"/>
              </w:rPr>
              <w:t xml:space="preserve">от 31.07.2020 № 248-ФЗ </w:t>
            </w:r>
            <w:r w:rsidR="00994F65">
              <w:rPr>
                <w:b w:val="0"/>
                <w:sz w:val="24"/>
                <w:szCs w:val="24"/>
              </w:rPr>
              <w:t>«</w:t>
            </w:r>
            <w:r w:rsidR="00994F65" w:rsidRPr="00994F65">
              <w:rPr>
                <w:b w:val="0"/>
                <w:sz w:val="24"/>
                <w:szCs w:val="24"/>
              </w:rPr>
              <w:t>О государственном контроле (надзоре) и муниципальном контроле в Российской Федерации</w:t>
            </w:r>
            <w:r w:rsidR="00994F65">
              <w:rPr>
                <w:b w:val="0"/>
                <w:sz w:val="24"/>
                <w:szCs w:val="24"/>
              </w:rPr>
              <w:t>»</w:t>
            </w:r>
            <w:r w:rsidR="00994F65" w:rsidRPr="00994F65">
              <w:rPr>
                <w:b w:val="0"/>
                <w:sz w:val="24"/>
                <w:szCs w:val="24"/>
              </w:rPr>
              <w:t xml:space="preserve"> (Федеральный закон № 248-ФЗ).</w:t>
            </w:r>
          </w:p>
          <w:p w:rsidR="00994F65" w:rsidRPr="00994F65" w:rsidRDefault="00994F65" w:rsidP="00994F65">
            <w:pPr>
              <w:pStyle w:val="ConsPlusTitle"/>
              <w:ind w:firstLine="317"/>
              <w:jc w:val="both"/>
              <w:rPr>
                <w:b w:val="0"/>
                <w:sz w:val="24"/>
                <w:szCs w:val="24"/>
              </w:rPr>
            </w:pPr>
            <w:r w:rsidRPr="00994F65">
              <w:rPr>
                <w:b w:val="0"/>
                <w:sz w:val="24"/>
                <w:szCs w:val="24"/>
              </w:rPr>
              <w:t>Согласно положениям Федерального закона № 248-ФЗ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94F65" w:rsidRPr="00994F65" w:rsidRDefault="00994F65" w:rsidP="00994F65">
            <w:pPr>
              <w:pStyle w:val="ConsPlusTitle"/>
              <w:ind w:firstLine="317"/>
              <w:jc w:val="both"/>
              <w:rPr>
                <w:b w:val="0"/>
                <w:sz w:val="24"/>
                <w:szCs w:val="24"/>
              </w:rPr>
            </w:pPr>
            <w:proofErr w:type="gramStart"/>
            <w:r w:rsidRPr="00994F65">
              <w:rPr>
                <w:b w:val="0"/>
                <w:sz w:val="24"/>
                <w:szCs w:val="24"/>
              </w:rPr>
              <w:t xml:space="preserve">В соответствии со статьей 16 Положения </w:t>
            </w:r>
            <w:r>
              <w:rPr>
                <w:b w:val="0"/>
                <w:sz w:val="24"/>
                <w:szCs w:val="24"/>
              </w:rPr>
              <w:t xml:space="preserve">         </w:t>
            </w:r>
            <w:r w:rsidRPr="00994F65">
              <w:rPr>
                <w:b w:val="0"/>
                <w:sz w:val="24"/>
                <w:szCs w:val="24"/>
              </w:rPr>
              <w:t xml:space="preserve">о федеральном государственном </w:t>
            </w:r>
            <w:r w:rsidR="00C861D2">
              <w:rPr>
                <w:b w:val="0"/>
                <w:sz w:val="24"/>
                <w:szCs w:val="24"/>
              </w:rPr>
              <w:t xml:space="preserve">                   </w:t>
            </w:r>
            <w:r w:rsidRPr="00994F65">
              <w:rPr>
                <w:b w:val="0"/>
                <w:sz w:val="24"/>
                <w:szCs w:val="24"/>
              </w:rPr>
              <w:t xml:space="preserve">контроле в целях информирования налогоплательщиков об обязательных требованиях, а также о видах, содержании </w:t>
            </w:r>
            <w:r w:rsidR="00C861D2">
              <w:rPr>
                <w:b w:val="0"/>
                <w:sz w:val="24"/>
                <w:szCs w:val="24"/>
              </w:rPr>
              <w:t xml:space="preserve">                </w:t>
            </w:r>
            <w:r w:rsidRPr="00994F65">
              <w:rPr>
                <w:b w:val="0"/>
                <w:sz w:val="24"/>
                <w:szCs w:val="24"/>
              </w:rPr>
              <w:t xml:space="preserve">и об интенсивности проводимых контрольных (надзорных) мероприятий, сотрудниками Управления в 2023 году проведено 1310 обязательных профилактических визитов </w:t>
            </w:r>
            <w:r w:rsidR="00C861D2">
              <w:rPr>
                <w:b w:val="0"/>
                <w:sz w:val="24"/>
                <w:szCs w:val="24"/>
              </w:rPr>
              <w:t xml:space="preserve"> </w:t>
            </w:r>
            <w:r w:rsidRPr="00994F65">
              <w:rPr>
                <w:b w:val="0"/>
                <w:sz w:val="24"/>
                <w:szCs w:val="24"/>
              </w:rPr>
              <w:t xml:space="preserve">в отношении контролируемых лиц, приступающих </w:t>
            </w:r>
            <w:r w:rsidR="00BB5D6A">
              <w:rPr>
                <w:b w:val="0"/>
                <w:sz w:val="24"/>
                <w:szCs w:val="24"/>
              </w:rPr>
              <w:t xml:space="preserve">                          </w:t>
            </w:r>
            <w:r w:rsidRPr="00994F65">
              <w:rPr>
                <w:b w:val="0"/>
                <w:sz w:val="24"/>
                <w:szCs w:val="24"/>
              </w:rPr>
              <w:t>к осуществлению деятельности, при осуществлении которой контролируемое лицо должно соблюдать обязательные требования, что в 9,5 раз</w:t>
            </w:r>
            <w:proofErr w:type="gramEnd"/>
            <w:r w:rsidRPr="00994F65">
              <w:rPr>
                <w:b w:val="0"/>
                <w:sz w:val="24"/>
                <w:szCs w:val="24"/>
              </w:rPr>
              <w:t xml:space="preserve"> превышает показатели 2022 года.</w:t>
            </w:r>
          </w:p>
          <w:p w:rsidR="00994F65" w:rsidRPr="00994F65" w:rsidRDefault="00994F65" w:rsidP="00994F65">
            <w:pPr>
              <w:pStyle w:val="ConsPlusTitle"/>
              <w:ind w:firstLine="317"/>
              <w:jc w:val="both"/>
              <w:rPr>
                <w:b w:val="0"/>
                <w:sz w:val="24"/>
                <w:szCs w:val="24"/>
              </w:rPr>
            </w:pPr>
            <w:r w:rsidRPr="00994F65">
              <w:rPr>
                <w:b w:val="0"/>
                <w:sz w:val="24"/>
                <w:szCs w:val="24"/>
              </w:rPr>
              <w:lastRenderedPageBreak/>
              <w:t xml:space="preserve">Также в 2023 году проведено порядка </w:t>
            </w:r>
            <w:r w:rsidR="00C861D2">
              <w:rPr>
                <w:b w:val="0"/>
                <w:sz w:val="24"/>
                <w:szCs w:val="24"/>
              </w:rPr>
              <w:t xml:space="preserve">                  </w:t>
            </w:r>
            <w:r w:rsidRPr="00994F65">
              <w:rPr>
                <w:b w:val="0"/>
                <w:sz w:val="24"/>
                <w:szCs w:val="24"/>
              </w:rPr>
              <w:t>2,7 тыс. консультаций с объектами контроля по вопросам профилактики рисков нарушения законодательства о ККТ и порядка осуществления федерального государственного контроля (надзора).</w:t>
            </w:r>
          </w:p>
          <w:p w:rsidR="00994F65" w:rsidRPr="00994F65" w:rsidRDefault="00994F65" w:rsidP="00994F65">
            <w:pPr>
              <w:pStyle w:val="ConsPlusTitle"/>
              <w:ind w:firstLine="317"/>
              <w:jc w:val="both"/>
              <w:rPr>
                <w:b w:val="0"/>
                <w:sz w:val="24"/>
                <w:szCs w:val="24"/>
              </w:rPr>
            </w:pPr>
            <w:r w:rsidRPr="00994F65">
              <w:rPr>
                <w:b w:val="0"/>
                <w:sz w:val="24"/>
                <w:szCs w:val="24"/>
              </w:rPr>
              <w:t xml:space="preserve">Вынесено 1216 предостережений </w:t>
            </w:r>
            <w:r w:rsidR="008F5D29">
              <w:rPr>
                <w:b w:val="0"/>
                <w:sz w:val="24"/>
                <w:szCs w:val="24"/>
              </w:rPr>
              <w:t xml:space="preserve">                            </w:t>
            </w:r>
            <w:r w:rsidRPr="00994F65">
              <w:rPr>
                <w:b w:val="0"/>
                <w:sz w:val="24"/>
                <w:szCs w:val="24"/>
              </w:rPr>
              <w:t>о недопустимости нарушения обязательных требований, что почти в 11  раз превышает показатели 2022 года.</w:t>
            </w:r>
          </w:p>
          <w:p w:rsidR="00994F65" w:rsidRPr="00994F65" w:rsidRDefault="00994F65" w:rsidP="00994F65">
            <w:pPr>
              <w:pStyle w:val="ConsPlusTitle"/>
              <w:ind w:firstLine="317"/>
              <w:jc w:val="both"/>
              <w:rPr>
                <w:b w:val="0"/>
                <w:sz w:val="24"/>
                <w:szCs w:val="24"/>
              </w:rPr>
            </w:pPr>
            <w:r w:rsidRPr="00994F65">
              <w:rPr>
                <w:b w:val="0"/>
                <w:sz w:val="24"/>
                <w:szCs w:val="24"/>
              </w:rPr>
              <w:t xml:space="preserve">В целях оценки соблюдения контролируемыми лицами </w:t>
            </w:r>
            <w:r w:rsidR="008F5D29">
              <w:rPr>
                <w:b w:val="0"/>
                <w:sz w:val="24"/>
                <w:szCs w:val="24"/>
              </w:rPr>
              <w:t xml:space="preserve">                         </w:t>
            </w:r>
            <w:r w:rsidRPr="00994F65">
              <w:rPr>
                <w:b w:val="0"/>
                <w:sz w:val="24"/>
                <w:szCs w:val="24"/>
              </w:rPr>
              <w:t xml:space="preserve">обязательных требований, установленных законодательством Российской Федерации </w:t>
            </w:r>
            <w:r w:rsidR="008F5D29">
              <w:rPr>
                <w:b w:val="0"/>
                <w:sz w:val="24"/>
                <w:szCs w:val="24"/>
              </w:rPr>
              <w:t xml:space="preserve">                  </w:t>
            </w:r>
            <w:r w:rsidRPr="00994F65">
              <w:rPr>
                <w:b w:val="0"/>
                <w:sz w:val="24"/>
                <w:szCs w:val="24"/>
              </w:rPr>
              <w:t>о применении контрольно-кассовой техники, в 2023 году проведено 101 контрольное (надзорное) мероприятие без взаимодействия в виде выездного обследования.</w:t>
            </w:r>
          </w:p>
          <w:p w:rsidR="00994F65" w:rsidRPr="00994F65" w:rsidRDefault="00994F65" w:rsidP="00994F65">
            <w:pPr>
              <w:pStyle w:val="ConsPlusTitle"/>
              <w:ind w:firstLine="317"/>
              <w:jc w:val="both"/>
              <w:rPr>
                <w:b w:val="0"/>
                <w:sz w:val="24"/>
                <w:szCs w:val="24"/>
              </w:rPr>
            </w:pPr>
            <w:r w:rsidRPr="00994F65">
              <w:rPr>
                <w:b w:val="0"/>
                <w:sz w:val="24"/>
                <w:szCs w:val="24"/>
              </w:rPr>
              <w:t xml:space="preserve">В рамках 40 выездных обследований проведена контрольная закупка </w:t>
            </w:r>
            <w:r w:rsidR="008F5D29">
              <w:rPr>
                <w:b w:val="0"/>
                <w:sz w:val="24"/>
                <w:szCs w:val="24"/>
              </w:rPr>
              <w:t xml:space="preserve">                                     </w:t>
            </w:r>
            <w:r w:rsidRPr="00994F65">
              <w:rPr>
                <w:b w:val="0"/>
                <w:sz w:val="24"/>
                <w:szCs w:val="24"/>
              </w:rPr>
              <w:t xml:space="preserve">в соответствии с частью 7 статьи 75 Федерального закона № 248-ФЗ. Во всех случаях выявлены нарушения. </w:t>
            </w:r>
          </w:p>
          <w:p w:rsidR="00994F65" w:rsidRPr="00994F65" w:rsidRDefault="00994F65" w:rsidP="00994F65">
            <w:pPr>
              <w:pStyle w:val="ConsPlusTitle"/>
              <w:ind w:firstLine="317"/>
              <w:jc w:val="both"/>
              <w:rPr>
                <w:b w:val="0"/>
                <w:sz w:val="24"/>
                <w:szCs w:val="24"/>
              </w:rPr>
            </w:pPr>
            <w:r w:rsidRPr="00994F65">
              <w:rPr>
                <w:b w:val="0"/>
                <w:sz w:val="24"/>
                <w:szCs w:val="24"/>
              </w:rPr>
              <w:t>В 2023 году всего 35 налогоплательщиков привлечены к административной ответственности в виде предупреждения.</w:t>
            </w:r>
          </w:p>
          <w:p w:rsidR="00994F65" w:rsidRPr="00994F65" w:rsidRDefault="00994F65" w:rsidP="00994F65">
            <w:pPr>
              <w:pStyle w:val="ConsPlusTitle"/>
              <w:ind w:firstLine="317"/>
              <w:jc w:val="both"/>
              <w:rPr>
                <w:b w:val="0"/>
                <w:sz w:val="24"/>
                <w:szCs w:val="24"/>
              </w:rPr>
            </w:pPr>
            <w:r w:rsidRPr="00994F65">
              <w:rPr>
                <w:b w:val="0"/>
                <w:sz w:val="24"/>
                <w:szCs w:val="24"/>
              </w:rPr>
              <w:t>В 2023 году упор был сделан на реализацию отраслевого проекта «Рынки</w:t>
            </w:r>
            <w:r w:rsidR="008F5D29">
              <w:rPr>
                <w:b w:val="0"/>
                <w:sz w:val="24"/>
                <w:szCs w:val="24"/>
              </w:rPr>
              <w:t>»</w:t>
            </w:r>
            <w:r w:rsidRPr="00994F65">
              <w:rPr>
                <w:b w:val="0"/>
                <w:sz w:val="24"/>
                <w:szCs w:val="24"/>
              </w:rPr>
              <w:t xml:space="preserve">. </w:t>
            </w:r>
          </w:p>
          <w:p w:rsidR="00994F65" w:rsidRPr="00994F65" w:rsidRDefault="00994F65" w:rsidP="00994F65">
            <w:pPr>
              <w:pStyle w:val="ConsPlusTitle"/>
              <w:ind w:firstLine="317"/>
              <w:jc w:val="both"/>
              <w:rPr>
                <w:b w:val="0"/>
                <w:sz w:val="24"/>
                <w:szCs w:val="24"/>
              </w:rPr>
            </w:pPr>
            <w:r w:rsidRPr="00994F65">
              <w:rPr>
                <w:b w:val="0"/>
                <w:sz w:val="24"/>
                <w:szCs w:val="24"/>
              </w:rPr>
              <w:t>Основными задачами проекта являются:</w:t>
            </w:r>
          </w:p>
          <w:p w:rsidR="008F5D29" w:rsidRDefault="00994F65" w:rsidP="008F5D29">
            <w:pPr>
              <w:pStyle w:val="ConsPlusTitle"/>
              <w:ind w:firstLine="317"/>
              <w:jc w:val="both"/>
              <w:rPr>
                <w:b w:val="0"/>
                <w:sz w:val="24"/>
                <w:szCs w:val="24"/>
              </w:rPr>
            </w:pPr>
            <w:r w:rsidRPr="00994F65">
              <w:rPr>
                <w:b w:val="0"/>
                <w:sz w:val="24"/>
                <w:szCs w:val="24"/>
              </w:rPr>
              <w:t xml:space="preserve">100%-ная оснащенность торговых мест контрольно-кассовой техникой (при наличии такой обязанности); </w:t>
            </w:r>
          </w:p>
          <w:p w:rsidR="00994F65" w:rsidRPr="00994F65" w:rsidRDefault="00994F65" w:rsidP="008F5D29">
            <w:pPr>
              <w:pStyle w:val="ConsPlusTitle"/>
              <w:ind w:firstLine="317"/>
              <w:jc w:val="both"/>
              <w:rPr>
                <w:b w:val="0"/>
                <w:sz w:val="24"/>
                <w:szCs w:val="24"/>
              </w:rPr>
            </w:pPr>
            <w:r w:rsidRPr="00994F65">
              <w:rPr>
                <w:b w:val="0"/>
                <w:sz w:val="24"/>
                <w:szCs w:val="24"/>
              </w:rPr>
              <w:t>рост выручки, отраженной по ККТ.</w:t>
            </w:r>
          </w:p>
          <w:p w:rsidR="00994F65" w:rsidRPr="00994F65" w:rsidRDefault="00994F65" w:rsidP="00994F65">
            <w:pPr>
              <w:pStyle w:val="ConsPlusTitle"/>
              <w:ind w:firstLine="317"/>
              <w:jc w:val="both"/>
              <w:rPr>
                <w:b w:val="0"/>
                <w:sz w:val="24"/>
                <w:szCs w:val="24"/>
              </w:rPr>
            </w:pPr>
            <w:r w:rsidRPr="00994F65">
              <w:rPr>
                <w:b w:val="0"/>
                <w:sz w:val="24"/>
                <w:szCs w:val="24"/>
              </w:rPr>
              <w:t xml:space="preserve">Управлением проведен значительный объем мероприятий, направленных </w:t>
            </w:r>
            <w:r w:rsidR="008F5D29">
              <w:rPr>
                <w:b w:val="0"/>
                <w:sz w:val="24"/>
                <w:szCs w:val="24"/>
              </w:rPr>
              <w:t xml:space="preserve">                          </w:t>
            </w:r>
            <w:r w:rsidRPr="00994F65">
              <w:rPr>
                <w:b w:val="0"/>
                <w:sz w:val="24"/>
                <w:szCs w:val="24"/>
              </w:rPr>
              <w:t xml:space="preserve">на обеление деятельности рынков (ярмарок и </w:t>
            </w:r>
            <w:r w:rsidRPr="00994F65">
              <w:rPr>
                <w:b w:val="0"/>
                <w:sz w:val="24"/>
                <w:szCs w:val="24"/>
              </w:rPr>
              <w:lastRenderedPageBreak/>
              <w:t xml:space="preserve">иных территорий, отведенных для осуществления торговли). По результатам проведенной работы установлены значительные изменения в поведении продавцов на рынках. На ярмарках и рынках дополнительно установлено более 100 единиц ККТ. Количество арендаторов торговых мест на рынках, ярмарках и иных торговых пространствах,  обязанных применять при расчетах ККТ и имеющих </w:t>
            </w:r>
            <w:proofErr w:type="gramStart"/>
            <w:r w:rsidRPr="00994F65">
              <w:rPr>
                <w:b w:val="0"/>
                <w:sz w:val="24"/>
                <w:szCs w:val="24"/>
              </w:rPr>
              <w:t>зарегистрированную</w:t>
            </w:r>
            <w:proofErr w:type="gramEnd"/>
            <w:r w:rsidRPr="00994F65">
              <w:rPr>
                <w:b w:val="0"/>
                <w:sz w:val="24"/>
                <w:szCs w:val="24"/>
              </w:rPr>
              <w:t xml:space="preserve"> в налоговых органах ККТ, составляет 100%. Объемы денежной выручки, зафиксированной ККТ,  увеличились более чем в 2,5 раза.</w:t>
            </w:r>
          </w:p>
          <w:p w:rsidR="00994F65" w:rsidRPr="00994F65" w:rsidRDefault="00994F65" w:rsidP="00994F65">
            <w:pPr>
              <w:pStyle w:val="ConsPlusTitle"/>
              <w:ind w:firstLine="317"/>
              <w:jc w:val="both"/>
              <w:rPr>
                <w:b w:val="0"/>
                <w:sz w:val="24"/>
                <w:szCs w:val="24"/>
              </w:rPr>
            </w:pPr>
            <w:r w:rsidRPr="00994F65">
              <w:rPr>
                <w:b w:val="0"/>
                <w:sz w:val="24"/>
                <w:szCs w:val="24"/>
              </w:rPr>
              <w:t xml:space="preserve">В январе 2024 года Управление приступило к реализации отраслевого проекта «Общественное питание». </w:t>
            </w:r>
            <w:r w:rsidR="00650ECB">
              <w:rPr>
                <w:b w:val="0"/>
                <w:sz w:val="24"/>
                <w:szCs w:val="24"/>
              </w:rPr>
              <w:t xml:space="preserve">                               </w:t>
            </w:r>
            <w:r w:rsidRPr="00994F65">
              <w:rPr>
                <w:b w:val="0"/>
                <w:sz w:val="24"/>
                <w:szCs w:val="24"/>
              </w:rPr>
              <w:t>На текущий момент в прое</w:t>
            </w:r>
            <w:proofErr w:type="gramStart"/>
            <w:r w:rsidRPr="00994F65">
              <w:rPr>
                <w:b w:val="0"/>
                <w:sz w:val="24"/>
                <w:szCs w:val="24"/>
              </w:rPr>
              <w:t>кт вкл</w:t>
            </w:r>
            <w:proofErr w:type="gramEnd"/>
            <w:r w:rsidRPr="00994F65">
              <w:rPr>
                <w:b w:val="0"/>
                <w:sz w:val="24"/>
                <w:szCs w:val="24"/>
              </w:rPr>
              <w:t xml:space="preserve">ючено </w:t>
            </w:r>
            <w:r w:rsidR="00650ECB">
              <w:rPr>
                <w:b w:val="0"/>
                <w:sz w:val="24"/>
                <w:szCs w:val="24"/>
              </w:rPr>
              <w:t xml:space="preserve">                     </w:t>
            </w:r>
            <w:r w:rsidRPr="00994F65">
              <w:rPr>
                <w:b w:val="0"/>
                <w:sz w:val="24"/>
                <w:szCs w:val="24"/>
              </w:rPr>
              <w:t>694 объекта общественного питания.</w:t>
            </w:r>
          </w:p>
          <w:p w:rsidR="00994F65" w:rsidRPr="00994F65" w:rsidRDefault="00994F65" w:rsidP="00994F65">
            <w:pPr>
              <w:pStyle w:val="ConsPlusTitle"/>
              <w:ind w:firstLine="317"/>
              <w:jc w:val="both"/>
              <w:rPr>
                <w:b w:val="0"/>
                <w:sz w:val="24"/>
                <w:szCs w:val="24"/>
              </w:rPr>
            </w:pPr>
            <w:r w:rsidRPr="00994F65">
              <w:rPr>
                <w:b w:val="0"/>
                <w:sz w:val="24"/>
                <w:szCs w:val="24"/>
              </w:rPr>
              <w:t xml:space="preserve">Целью проекта является увеличение выручки, фиксируемой с применением ККТ.  </w:t>
            </w:r>
          </w:p>
          <w:p w:rsidR="00994F65" w:rsidRPr="00994F65" w:rsidRDefault="00994F65" w:rsidP="00994F65">
            <w:pPr>
              <w:pStyle w:val="ConsPlusTitle"/>
              <w:ind w:firstLine="317"/>
              <w:jc w:val="both"/>
              <w:rPr>
                <w:b w:val="0"/>
                <w:sz w:val="24"/>
                <w:szCs w:val="24"/>
              </w:rPr>
            </w:pPr>
            <w:r w:rsidRPr="00994F65">
              <w:rPr>
                <w:b w:val="0"/>
                <w:sz w:val="24"/>
                <w:szCs w:val="24"/>
              </w:rPr>
              <w:t>По состоянию на 11.03.2024 на территории Архангельской области 11,7 тыс. налогоплательщиков поставили на регистрационный учет 27,8 тыс. единиц ККТ.</w:t>
            </w:r>
          </w:p>
          <w:p w:rsidR="00994F65" w:rsidRPr="00994F65" w:rsidRDefault="00994F65" w:rsidP="00994F65">
            <w:pPr>
              <w:pStyle w:val="ConsPlusTitle"/>
              <w:ind w:firstLine="317"/>
              <w:jc w:val="both"/>
              <w:rPr>
                <w:b w:val="0"/>
                <w:sz w:val="24"/>
                <w:szCs w:val="24"/>
              </w:rPr>
            </w:pPr>
            <w:r w:rsidRPr="00994F65">
              <w:rPr>
                <w:b w:val="0"/>
                <w:sz w:val="24"/>
                <w:szCs w:val="24"/>
              </w:rPr>
              <w:t xml:space="preserve">Правительством РФ предложены поправки  в Федеральный закон от 22.05.2003 № 54-ФЗ "О применении контрольно-кассовой техники при осуществлении расчетов в Российской Федерации" (далее - Федеральный закон </w:t>
            </w:r>
            <w:r w:rsidR="00650ECB">
              <w:rPr>
                <w:b w:val="0"/>
                <w:sz w:val="24"/>
                <w:szCs w:val="24"/>
              </w:rPr>
              <w:t xml:space="preserve">                      </w:t>
            </w:r>
            <w:r w:rsidRPr="00994F65">
              <w:rPr>
                <w:b w:val="0"/>
                <w:sz w:val="24"/>
                <w:szCs w:val="24"/>
              </w:rPr>
              <w:t xml:space="preserve">№ 54-ФЗ), которые направлены на совершенствование законодательства о применении контрольно-кассовой техники. </w:t>
            </w:r>
          </w:p>
          <w:p w:rsidR="00994F65" w:rsidRPr="00994F65" w:rsidRDefault="00994F65" w:rsidP="00994F65">
            <w:pPr>
              <w:pStyle w:val="ConsPlusTitle"/>
              <w:ind w:firstLine="317"/>
              <w:jc w:val="both"/>
              <w:rPr>
                <w:b w:val="0"/>
                <w:sz w:val="24"/>
                <w:szCs w:val="24"/>
              </w:rPr>
            </w:pPr>
            <w:r w:rsidRPr="00994F65">
              <w:rPr>
                <w:b w:val="0"/>
                <w:sz w:val="24"/>
                <w:szCs w:val="24"/>
              </w:rPr>
              <w:t>1. Упрощается процедура регистрации, перерегистрации или снятия с регистрационного учета ККТ.</w:t>
            </w:r>
          </w:p>
          <w:p w:rsidR="00994F65" w:rsidRPr="00994F65" w:rsidRDefault="00994F65" w:rsidP="00994F65">
            <w:pPr>
              <w:pStyle w:val="ConsPlusTitle"/>
              <w:ind w:firstLine="317"/>
              <w:jc w:val="both"/>
              <w:rPr>
                <w:b w:val="0"/>
                <w:sz w:val="24"/>
                <w:szCs w:val="24"/>
              </w:rPr>
            </w:pPr>
            <w:r w:rsidRPr="00994F65">
              <w:rPr>
                <w:b w:val="0"/>
                <w:sz w:val="24"/>
                <w:szCs w:val="24"/>
              </w:rPr>
              <w:lastRenderedPageBreak/>
              <w:t xml:space="preserve">Вводятся новые способы подачи заявлений на регистрацию, перерегистрацию, снятие с регистрационного учета ККТ </w:t>
            </w:r>
          </w:p>
          <w:p w:rsidR="00994F65" w:rsidRPr="00994F65" w:rsidRDefault="00994F65" w:rsidP="00994F65">
            <w:pPr>
              <w:pStyle w:val="ConsPlusTitle"/>
              <w:ind w:firstLine="317"/>
              <w:jc w:val="both"/>
              <w:rPr>
                <w:b w:val="0"/>
                <w:sz w:val="24"/>
                <w:szCs w:val="24"/>
              </w:rPr>
            </w:pPr>
            <w:r w:rsidRPr="00994F65">
              <w:rPr>
                <w:b w:val="0"/>
                <w:sz w:val="24"/>
                <w:szCs w:val="24"/>
              </w:rPr>
              <w:t xml:space="preserve">- через личный кабинет портала </w:t>
            </w:r>
            <w:proofErr w:type="spellStart"/>
            <w:r w:rsidRPr="00994F65">
              <w:rPr>
                <w:b w:val="0"/>
                <w:sz w:val="24"/>
                <w:szCs w:val="24"/>
              </w:rPr>
              <w:t>госуслуг</w:t>
            </w:r>
            <w:proofErr w:type="spellEnd"/>
            <w:r w:rsidRPr="00994F65">
              <w:rPr>
                <w:b w:val="0"/>
                <w:sz w:val="24"/>
                <w:szCs w:val="24"/>
              </w:rPr>
              <w:t xml:space="preserve"> и через изготовителя ККТ;</w:t>
            </w:r>
          </w:p>
          <w:p w:rsidR="00994F65" w:rsidRPr="00994F65" w:rsidRDefault="00994F65" w:rsidP="00994F65">
            <w:pPr>
              <w:pStyle w:val="ConsPlusTitle"/>
              <w:ind w:firstLine="317"/>
              <w:jc w:val="both"/>
              <w:rPr>
                <w:b w:val="0"/>
                <w:sz w:val="24"/>
                <w:szCs w:val="24"/>
              </w:rPr>
            </w:pPr>
            <w:r w:rsidRPr="00994F65">
              <w:rPr>
                <w:b w:val="0"/>
                <w:sz w:val="24"/>
                <w:szCs w:val="24"/>
              </w:rPr>
              <w:t>- предусматривается возможность осуществлять перерегистрацию ККТ в связи с заменой фискального накопителя без подачи в налоговый орган соответствующего заявления, при условии направления в налоговый орган через оператора фискальных данных отчета об изменении параметров регистрации</w:t>
            </w:r>
            <w:proofErr w:type="gramStart"/>
            <w:r w:rsidRPr="00994F65">
              <w:rPr>
                <w:b w:val="0"/>
                <w:sz w:val="24"/>
                <w:szCs w:val="24"/>
              </w:rPr>
              <w:t>.</w:t>
            </w:r>
            <w:proofErr w:type="gramEnd"/>
            <w:r w:rsidRPr="00994F65">
              <w:rPr>
                <w:b w:val="0"/>
                <w:sz w:val="24"/>
                <w:szCs w:val="24"/>
              </w:rPr>
              <w:t xml:space="preserve"> (</w:t>
            </w:r>
            <w:proofErr w:type="gramStart"/>
            <w:r w:rsidRPr="00994F65">
              <w:rPr>
                <w:b w:val="0"/>
                <w:sz w:val="24"/>
                <w:szCs w:val="24"/>
              </w:rPr>
              <w:t>н</w:t>
            </w:r>
            <w:proofErr w:type="gramEnd"/>
            <w:r w:rsidRPr="00994F65">
              <w:rPr>
                <w:b w:val="0"/>
                <w:sz w:val="24"/>
                <w:szCs w:val="24"/>
              </w:rPr>
              <w:t>о если пользователь указал неполные недостоверные сведения и на основании этого налоговый орган отказал в регистрации, то тогда только прежний порядок через заявление на бумаге).</w:t>
            </w:r>
          </w:p>
          <w:p w:rsidR="00994F65" w:rsidRPr="00994F65" w:rsidRDefault="00994F65" w:rsidP="00994F65">
            <w:pPr>
              <w:pStyle w:val="ConsPlusTitle"/>
              <w:ind w:firstLine="317"/>
              <w:jc w:val="both"/>
              <w:rPr>
                <w:b w:val="0"/>
                <w:sz w:val="24"/>
                <w:szCs w:val="24"/>
              </w:rPr>
            </w:pPr>
            <w:r w:rsidRPr="00994F65">
              <w:rPr>
                <w:b w:val="0"/>
                <w:sz w:val="24"/>
                <w:szCs w:val="24"/>
              </w:rPr>
              <w:t xml:space="preserve">- сокращаются с 10 до 5 рабочих дней сроки предоставления ФНС России </w:t>
            </w:r>
            <w:proofErr w:type="spellStart"/>
            <w:r w:rsidRPr="00994F65">
              <w:rPr>
                <w:b w:val="0"/>
                <w:sz w:val="24"/>
                <w:szCs w:val="24"/>
              </w:rPr>
              <w:t>госуслуги</w:t>
            </w:r>
            <w:proofErr w:type="spellEnd"/>
            <w:r w:rsidRPr="00994F65">
              <w:rPr>
                <w:b w:val="0"/>
                <w:sz w:val="24"/>
                <w:szCs w:val="24"/>
              </w:rPr>
              <w:t xml:space="preserve"> по регистрации, перерегистрации и снятию с регистрационного учета ККТ.</w:t>
            </w:r>
          </w:p>
          <w:p w:rsidR="00994F65" w:rsidRPr="00994F65" w:rsidRDefault="00FD1B8B" w:rsidP="00994F65">
            <w:pPr>
              <w:pStyle w:val="ConsPlusTitle"/>
              <w:ind w:firstLine="317"/>
              <w:jc w:val="both"/>
              <w:rPr>
                <w:b w:val="0"/>
                <w:sz w:val="24"/>
                <w:szCs w:val="24"/>
              </w:rPr>
            </w:pPr>
            <w:r>
              <w:rPr>
                <w:b w:val="0"/>
                <w:sz w:val="24"/>
                <w:szCs w:val="24"/>
              </w:rPr>
              <w:t>В настоящее время</w:t>
            </w:r>
            <w:r w:rsidR="00994F65" w:rsidRPr="00994F65">
              <w:rPr>
                <w:b w:val="0"/>
                <w:sz w:val="24"/>
                <w:szCs w:val="24"/>
              </w:rPr>
              <w:t xml:space="preserve"> заявление о регистрации (перерегистрации) ККТ и (или) заявление о снятии ККТ с регистрационного учета подаются организацией или индивидуальным предпринимателем на бумажном носителе в любой территориальный налоговый орган или через кабинет ККТ.</w:t>
            </w:r>
          </w:p>
          <w:p w:rsidR="00994F65" w:rsidRPr="00994F65" w:rsidRDefault="00994F65" w:rsidP="00994F65">
            <w:pPr>
              <w:pStyle w:val="ConsPlusTitle"/>
              <w:ind w:firstLine="317"/>
              <w:jc w:val="both"/>
              <w:rPr>
                <w:b w:val="0"/>
                <w:sz w:val="24"/>
                <w:szCs w:val="24"/>
              </w:rPr>
            </w:pPr>
            <w:r w:rsidRPr="00994F65">
              <w:rPr>
                <w:b w:val="0"/>
                <w:sz w:val="24"/>
                <w:szCs w:val="24"/>
              </w:rPr>
              <w:t xml:space="preserve">2. Использование сервиса ФНС «Мои чеки </w:t>
            </w:r>
            <w:proofErr w:type="spellStart"/>
            <w:r w:rsidRPr="00994F65">
              <w:rPr>
                <w:b w:val="0"/>
                <w:sz w:val="24"/>
                <w:szCs w:val="24"/>
              </w:rPr>
              <w:t>онлайн</w:t>
            </w:r>
            <w:proofErr w:type="spellEnd"/>
            <w:r w:rsidRPr="00994F65">
              <w:rPr>
                <w:b w:val="0"/>
                <w:sz w:val="24"/>
                <w:szCs w:val="24"/>
              </w:rPr>
              <w:t>».</w:t>
            </w:r>
          </w:p>
          <w:p w:rsidR="00994F65" w:rsidRPr="00994F65" w:rsidRDefault="00994F65" w:rsidP="00994F65">
            <w:pPr>
              <w:pStyle w:val="ConsPlusTitle"/>
              <w:ind w:firstLine="317"/>
              <w:jc w:val="both"/>
              <w:rPr>
                <w:b w:val="0"/>
                <w:sz w:val="24"/>
                <w:szCs w:val="24"/>
              </w:rPr>
            </w:pPr>
            <w:r w:rsidRPr="00994F65">
              <w:rPr>
                <w:b w:val="0"/>
                <w:sz w:val="24"/>
                <w:szCs w:val="24"/>
              </w:rPr>
              <w:t xml:space="preserve">Специальный информационный ресурс «Мои чеки </w:t>
            </w:r>
            <w:proofErr w:type="spellStart"/>
            <w:r w:rsidRPr="00994F65">
              <w:rPr>
                <w:b w:val="0"/>
                <w:sz w:val="24"/>
                <w:szCs w:val="24"/>
              </w:rPr>
              <w:t>онлайн</w:t>
            </w:r>
            <w:proofErr w:type="spellEnd"/>
            <w:r w:rsidRPr="00994F65">
              <w:rPr>
                <w:b w:val="0"/>
                <w:sz w:val="24"/>
                <w:szCs w:val="24"/>
              </w:rPr>
              <w:t xml:space="preserve">» ФНС России предназначен для хранения электронных чеков, позволяет покупателю иметь полную информацию о совершенных им </w:t>
            </w:r>
            <w:proofErr w:type="gramStart"/>
            <w:r w:rsidRPr="00994F65">
              <w:rPr>
                <w:b w:val="0"/>
                <w:sz w:val="24"/>
                <w:szCs w:val="24"/>
              </w:rPr>
              <w:t>покупках</w:t>
            </w:r>
            <w:proofErr w:type="gramEnd"/>
            <w:r w:rsidRPr="00994F65">
              <w:rPr>
                <w:b w:val="0"/>
                <w:sz w:val="24"/>
                <w:szCs w:val="24"/>
              </w:rPr>
              <w:t xml:space="preserve"> </w:t>
            </w:r>
            <w:r w:rsidR="00516B5C">
              <w:rPr>
                <w:b w:val="0"/>
                <w:sz w:val="24"/>
                <w:szCs w:val="24"/>
              </w:rPr>
              <w:t xml:space="preserve">                 </w:t>
            </w:r>
            <w:r w:rsidRPr="00994F65">
              <w:rPr>
                <w:b w:val="0"/>
                <w:sz w:val="24"/>
                <w:szCs w:val="24"/>
              </w:rPr>
              <w:lastRenderedPageBreak/>
              <w:t xml:space="preserve">и предъявлять чеки для возврата товаров или гарантийного обслуживания. </w:t>
            </w:r>
          </w:p>
          <w:p w:rsidR="00994F65" w:rsidRPr="00994F65" w:rsidRDefault="00994F65" w:rsidP="00994F65">
            <w:pPr>
              <w:pStyle w:val="ConsPlusTitle"/>
              <w:ind w:firstLine="317"/>
              <w:jc w:val="both"/>
              <w:rPr>
                <w:b w:val="0"/>
                <w:sz w:val="24"/>
                <w:szCs w:val="24"/>
              </w:rPr>
            </w:pPr>
            <w:r w:rsidRPr="00994F65">
              <w:rPr>
                <w:b w:val="0"/>
                <w:sz w:val="24"/>
                <w:szCs w:val="24"/>
              </w:rPr>
              <w:t xml:space="preserve">По новым правилам продавцам разрешат использовать сервис ФНС «Мои чеки </w:t>
            </w:r>
            <w:proofErr w:type="spellStart"/>
            <w:r w:rsidRPr="00994F65">
              <w:rPr>
                <w:b w:val="0"/>
                <w:sz w:val="24"/>
                <w:szCs w:val="24"/>
              </w:rPr>
              <w:t>онлайн</w:t>
            </w:r>
            <w:proofErr w:type="spellEnd"/>
            <w:r w:rsidRPr="00994F65">
              <w:rPr>
                <w:b w:val="0"/>
                <w:sz w:val="24"/>
                <w:szCs w:val="24"/>
              </w:rPr>
              <w:t xml:space="preserve">» для передачи </w:t>
            </w:r>
            <w:proofErr w:type="spellStart"/>
            <w:r w:rsidRPr="00994F65">
              <w:rPr>
                <w:b w:val="0"/>
                <w:sz w:val="24"/>
                <w:szCs w:val="24"/>
              </w:rPr>
              <w:t>онлайн-чеков</w:t>
            </w:r>
            <w:proofErr w:type="spellEnd"/>
            <w:r w:rsidRPr="00994F65">
              <w:rPr>
                <w:b w:val="0"/>
                <w:sz w:val="24"/>
                <w:szCs w:val="24"/>
              </w:rPr>
              <w:t>. При согласии покупателя продавец сможет направить ему электронный чек через сервис и не выдавать при этом бумажный. Но в чек нужно будет включить абонентский номер либо адрес электронной почты клиента. Сейчас ресурс — это хранилище чеков.</w:t>
            </w:r>
          </w:p>
          <w:p w:rsidR="00994F65" w:rsidRPr="00994F65" w:rsidRDefault="00994F65" w:rsidP="00994F65">
            <w:pPr>
              <w:pStyle w:val="ConsPlusTitle"/>
              <w:ind w:firstLine="317"/>
              <w:jc w:val="both"/>
              <w:rPr>
                <w:b w:val="0"/>
                <w:sz w:val="24"/>
                <w:szCs w:val="24"/>
              </w:rPr>
            </w:pPr>
            <w:r w:rsidRPr="00994F65">
              <w:rPr>
                <w:b w:val="0"/>
                <w:sz w:val="24"/>
                <w:szCs w:val="24"/>
              </w:rPr>
              <w:t>3. Случаи освобождения субъектов МСП от применения ККТ.</w:t>
            </w:r>
          </w:p>
          <w:p w:rsidR="00994F65" w:rsidRPr="00994F65" w:rsidRDefault="00994F65" w:rsidP="00994F65">
            <w:pPr>
              <w:pStyle w:val="ConsPlusTitle"/>
              <w:ind w:firstLine="317"/>
              <w:jc w:val="both"/>
              <w:rPr>
                <w:b w:val="0"/>
                <w:sz w:val="24"/>
                <w:szCs w:val="24"/>
              </w:rPr>
            </w:pPr>
            <w:r w:rsidRPr="00994F65">
              <w:rPr>
                <w:b w:val="0"/>
                <w:sz w:val="24"/>
                <w:szCs w:val="24"/>
              </w:rPr>
              <w:t>От применения ККТ будут освобождаться не только физкультурно-спортивные и образовательные организации, но и индивидуальные предприниматели, осуществляющие образовательную деятельность и деятельность в области физической культуры и спорта в качестве основного вида деятельности.</w:t>
            </w:r>
          </w:p>
          <w:p w:rsidR="00994F65" w:rsidRPr="00994F65" w:rsidRDefault="00994F65" w:rsidP="00994F65">
            <w:pPr>
              <w:pStyle w:val="ConsPlusTitle"/>
              <w:ind w:firstLine="317"/>
              <w:jc w:val="both"/>
              <w:rPr>
                <w:b w:val="0"/>
                <w:sz w:val="24"/>
                <w:szCs w:val="24"/>
              </w:rPr>
            </w:pPr>
            <w:r w:rsidRPr="00994F65">
              <w:rPr>
                <w:b w:val="0"/>
                <w:sz w:val="24"/>
                <w:szCs w:val="24"/>
              </w:rPr>
              <w:t xml:space="preserve">Уточняются положения, касающиеся освобождения от применения ККТ при сборе вторсырья. Сейчас освобождение действует при приеме от населения стеклопосуды и утильсырья. Согласно новой редакции </w:t>
            </w:r>
            <w:proofErr w:type="spellStart"/>
            <w:r w:rsidRPr="00994F65">
              <w:rPr>
                <w:b w:val="0"/>
                <w:sz w:val="24"/>
                <w:szCs w:val="24"/>
              </w:rPr>
              <w:t>абз</w:t>
            </w:r>
            <w:proofErr w:type="spellEnd"/>
            <w:r w:rsidRPr="00994F65">
              <w:rPr>
                <w:b w:val="0"/>
                <w:sz w:val="24"/>
                <w:szCs w:val="24"/>
              </w:rPr>
              <w:t>.</w:t>
            </w:r>
            <w:r w:rsidR="00C44A7C">
              <w:rPr>
                <w:b w:val="0"/>
                <w:sz w:val="24"/>
                <w:szCs w:val="24"/>
              </w:rPr>
              <w:t xml:space="preserve"> </w:t>
            </w:r>
            <w:r w:rsidRPr="00994F65">
              <w:rPr>
                <w:b w:val="0"/>
                <w:sz w:val="24"/>
                <w:szCs w:val="24"/>
              </w:rPr>
              <w:t>10 п.</w:t>
            </w:r>
            <w:r w:rsidR="00C44A7C">
              <w:rPr>
                <w:b w:val="0"/>
                <w:sz w:val="24"/>
                <w:szCs w:val="24"/>
              </w:rPr>
              <w:t xml:space="preserve"> </w:t>
            </w:r>
            <w:r w:rsidRPr="00994F65">
              <w:rPr>
                <w:b w:val="0"/>
                <w:sz w:val="24"/>
                <w:szCs w:val="24"/>
              </w:rPr>
              <w:t>2. ст.</w:t>
            </w:r>
            <w:r w:rsidR="00C44A7C">
              <w:rPr>
                <w:b w:val="0"/>
                <w:sz w:val="24"/>
                <w:szCs w:val="24"/>
              </w:rPr>
              <w:t xml:space="preserve"> </w:t>
            </w:r>
            <w:r w:rsidRPr="00994F65">
              <w:rPr>
                <w:b w:val="0"/>
                <w:sz w:val="24"/>
                <w:szCs w:val="24"/>
              </w:rPr>
              <w:t>2 Федерального закона № 54-ФЗ освобождение будет действовать при сборе использованной тары и материалов, пригодных для вторичного использования.</w:t>
            </w:r>
          </w:p>
          <w:p w:rsidR="00994F65" w:rsidRPr="00994F65" w:rsidRDefault="00994F65" w:rsidP="00994F65">
            <w:pPr>
              <w:pStyle w:val="ConsPlusTitle"/>
              <w:ind w:firstLine="317"/>
              <w:jc w:val="both"/>
              <w:rPr>
                <w:b w:val="0"/>
                <w:sz w:val="24"/>
                <w:szCs w:val="24"/>
              </w:rPr>
            </w:pPr>
            <w:r w:rsidRPr="00994F65">
              <w:rPr>
                <w:b w:val="0"/>
                <w:sz w:val="24"/>
                <w:szCs w:val="24"/>
              </w:rPr>
              <w:t>4. Проведение  экспертизы новых моделей фискальных накопителей.</w:t>
            </w:r>
          </w:p>
          <w:p w:rsidR="00994F65" w:rsidRPr="00994F65" w:rsidRDefault="00994F65" w:rsidP="00994F65">
            <w:pPr>
              <w:pStyle w:val="ConsPlusTitle"/>
              <w:ind w:firstLine="317"/>
              <w:jc w:val="both"/>
              <w:rPr>
                <w:b w:val="0"/>
                <w:sz w:val="24"/>
                <w:szCs w:val="24"/>
              </w:rPr>
            </w:pPr>
            <w:r w:rsidRPr="00994F65">
              <w:rPr>
                <w:b w:val="0"/>
                <w:sz w:val="24"/>
                <w:szCs w:val="24"/>
              </w:rPr>
              <w:t xml:space="preserve">Новые модели фискальных накопителей должны будут проходить экспертизу в экспертной организации аналогично тому, как это предусмотрено для новых моделей </w:t>
            </w:r>
            <w:r w:rsidRPr="00994F65">
              <w:rPr>
                <w:b w:val="0"/>
                <w:sz w:val="24"/>
                <w:szCs w:val="24"/>
              </w:rPr>
              <w:lastRenderedPageBreak/>
              <w:t>ККТ.</w:t>
            </w:r>
          </w:p>
          <w:p w:rsidR="00994F65" w:rsidRPr="00994F65" w:rsidRDefault="00994F65" w:rsidP="00994F65">
            <w:pPr>
              <w:pStyle w:val="ConsPlusTitle"/>
              <w:ind w:firstLine="317"/>
              <w:jc w:val="both"/>
              <w:rPr>
                <w:b w:val="0"/>
                <w:sz w:val="24"/>
                <w:szCs w:val="24"/>
              </w:rPr>
            </w:pPr>
            <w:r w:rsidRPr="00994F65">
              <w:rPr>
                <w:b w:val="0"/>
                <w:sz w:val="24"/>
                <w:szCs w:val="24"/>
              </w:rPr>
              <w:t xml:space="preserve">Отсутствие обязательной экспертизы </w:t>
            </w:r>
            <w:r w:rsidR="00583E4D" w:rsidRPr="00994F65">
              <w:rPr>
                <w:b w:val="0"/>
                <w:sz w:val="24"/>
                <w:szCs w:val="24"/>
              </w:rPr>
              <w:t>фискальных накопителей</w:t>
            </w:r>
            <w:r w:rsidRPr="00994F65">
              <w:rPr>
                <w:b w:val="0"/>
                <w:sz w:val="24"/>
                <w:szCs w:val="24"/>
              </w:rPr>
              <w:t xml:space="preserve"> на предмет соответствия требованиям 54-ФЗ, приводит </w:t>
            </w:r>
            <w:r w:rsidR="00583E4D">
              <w:rPr>
                <w:b w:val="0"/>
                <w:sz w:val="24"/>
                <w:szCs w:val="24"/>
              </w:rPr>
              <w:t xml:space="preserve">                 </w:t>
            </w:r>
            <w:r w:rsidRPr="00994F65">
              <w:rPr>
                <w:b w:val="0"/>
                <w:sz w:val="24"/>
                <w:szCs w:val="24"/>
              </w:rPr>
              <w:t>к появлению на рынке моделей фискальных накопителей ненадлежащего качества. Это вызывает трудности у ФНС при проверке достоверности формируемых фискальных данных.</w:t>
            </w:r>
          </w:p>
          <w:p w:rsidR="00994F65" w:rsidRPr="00994F65" w:rsidRDefault="00994F65" w:rsidP="00994F65">
            <w:pPr>
              <w:pStyle w:val="ConsPlusTitle"/>
              <w:ind w:firstLine="317"/>
              <w:jc w:val="both"/>
              <w:rPr>
                <w:b w:val="0"/>
                <w:sz w:val="24"/>
                <w:szCs w:val="24"/>
              </w:rPr>
            </w:pPr>
            <w:r w:rsidRPr="00994F65">
              <w:rPr>
                <w:b w:val="0"/>
                <w:sz w:val="24"/>
                <w:szCs w:val="24"/>
              </w:rPr>
              <w:t>5. Использование контрольно-кассовой техники при осуществлении продаж через агентов.</w:t>
            </w:r>
          </w:p>
          <w:p w:rsidR="00994F65" w:rsidRPr="00994F65" w:rsidRDefault="00994F65" w:rsidP="00994F65">
            <w:pPr>
              <w:pStyle w:val="ConsPlusTitle"/>
              <w:ind w:firstLine="317"/>
              <w:jc w:val="both"/>
              <w:rPr>
                <w:b w:val="0"/>
                <w:sz w:val="24"/>
                <w:szCs w:val="24"/>
              </w:rPr>
            </w:pPr>
            <w:r w:rsidRPr="00994F65">
              <w:rPr>
                <w:b w:val="0"/>
                <w:sz w:val="24"/>
                <w:szCs w:val="24"/>
              </w:rPr>
              <w:t>Положениями законопроекта предлагается установить единую позицию по вопросу определения субъекта, у которого возникает обязанность применения контрольно-кассовой техники, в случае привлечения посредника для приема денежных средств.</w:t>
            </w:r>
          </w:p>
          <w:p w:rsidR="00994F65" w:rsidRPr="00994F65" w:rsidRDefault="00994F65" w:rsidP="00994F65">
            <w:pPr>
              <w:pStyle w:val="ConsPlusTitle"/>
              <w:ind w:firstLine="317"/>
              <w:jc w:val="both"/>
              <w:rPr>
                <w:b w:val="0"/>
                <w:sz w:val="24"/>
                <w:szCs w:val="24"/>
              </w:rPr>
            </w:pPr>
            <w:r w:rsidRPr="00994F65">
              <w:rPr>
                <w:b w:val="0"/>
                <w:sz w:val="24"/>
                <w:szCs w:val="24"/>
              </w:rPr>
              <w:t>Так, при расчетах с участием комиссионера (агента) поставщик товаров (работ, услуг) вправе будет не применять ККТ при условии, что каждый из комиссионеров (агентов):</w:t>
            </w:r>
          </w:p>
          <w:p w:rsidR="00994F65" w:rsidRPr="00994F65" w:rsidRDefault="00994F65" w:rsidP="00994F65">
            <w:pPr>
              <w:pStyle w:val="ConsPlusTitle"/>
              <w:ind w:firstLine="317"/>
              <w:jc w:val="both"/>
              <w:rPr>
                <w:b w:val="0"/>
                <w:sz w:val="24"/>
                <w:szCs w:val="24"/>
              </w:rPr>
            </w:pPr>
            <w:r w:rsidRPr="00994F65">
              <w:rPr>
                <w:b w:val="0"/>
                <w:sz w:val="24"/>
                <w:szCs w:val="24"/>
              </w:rPr>
              <w:t>- не является кредитной организацией или лицом, которое вправе не применять ККТ;</w:t>
            </w:r>
          </w:p>
          <w:p w:rsidR="00994F65" w:rsidRPr="00994F65" w:rsidRDefault="00994F65" w:rsidP="00994F65">
            <w:pPr>
              <w:pStyle w:val="ConsPlusTitle"/>
              <w:ind w:firstLine="317"/>
              <w:jc w:val="both"/>
              <w:rPr>
                <w:b w:val="0"/>
                <w:sz w:val="24"/>
                <w:szCs w:val="24"/>
              </w:rPr>
            </w:pPr>
            <w:r w:rsidRPr="00994F65">
              <w:rPr>
                <w:b w:val="0"/>
                <w:sz w:val="24"/>
                <w:szCs w:val="24"/>
              </w:rPr>
              <w:t>- применил ККТ в режиме, предусматривающем обязательную передачу фискальных документов в налоговые органы в электронной форме через оператора фискальных данных, и выдал покупателю (клиенту) кассовый чек;</w:t>
            </w:r>
          </w:p>
          <w:p w:rsidR="00994F65" w:rsidRPr="00994F65" w:rsidRDefault="00994F65" w:rsidP="00994F65">
            <w:pPr>
              <w:pStyle w:val="ConsPlusTitle"/>
              <w:ind w:firstLine="317"/>
              <w:jc w:val="both"/>
              <w:rPr>
                <w:b w:val="0"/>
                <w:sz w:val="24"/>
                <w:szCs w:val="24"/>
              </w:rPr>
            </w:pPr>
            <w:r w:rsidRPr="00994F65">
              <w:rPr>
                <w:b w:val="0"/>
                <w:sz w:val="24"/>
                <w:szCs w:val="24"/>
              </w:rPr>
              <w:t xml:space="preserve">- при расчетах за маркированные товары </w:t>
            </w:r>
            <w:proofErr w:type="gramStart"/>
            <w:r w:rsidRPr="00994F65">
              <w:rPr>
                <w:b w:val="0"/>
                <w:sz w:val="24"/>
                <w:szCs w:val="24"/>
              </w:rPr>
              <w:t>сформировал фискальные документы и направил</w:t>
            </w:r>
            <w:proofErr w:type="gramEnd"/>
            <w:r w:rsidRPr="00994F65">
              <w:rPr>
                <w:b w:val="0"/>
                <w:sz w:val="24"/>
                <w:szCs w:val="24"/>
              </w:rPr>
              <w:t xml:space="preserve"> их в налоговые органы и оператору информационных систем маркировки в электронной форме через оператора </w:t>
            </w:r>
            <w:r w:rsidRPr="00994F65">
              <w:rPr>
                <w:b w:val="0"/>
                <w:sz w:val="24"/>
                <w:szCs w:val="24"/>
              </w:rPr>
              <w:lastRenderedPageBreak/>
              <w:t>фискальных данных.</w:t>
            </w:r>
          </w:p>
          <w:p w:rsidR="00994F65" w:rsidRPr="00994F65" w:rsidRDefault="00994F65" w:rsidP="00994F65">
            <w:pPr>
              <w:pStyle w:val="ConsPlusTitle"/>
              <w:ind w:firstLine="317"/>
              <w:jc w:val="both"/>
              <w:rPr>
                <w:b w:val="0"/>
                <w:sz w:val="24"/>
                <w:szCs w:val="24"/>
              </w:rPr>
            </w:pPr>
            <w:r w:rsidRPr="00994F65">
              <w:rPr>
                <w:b w:val="0"/>
                <w:sz w:val="24"/>
                <w:szCs w:val="24"/>
              </w:rPr>
              <w:t>Если комиссионер (агент) не выполнил вышеперечисленные условия и поставщик товаров (работ, услуг) не применил ККТ, то поставщик признается не применившим ККТ при осуществлении расчета.</w:t>
            </w:r>
          </w:p>
          <w:p w:rsidR="00994F65" w:rsidRPr="00994F65" w:rsidRDefault="00994F65" w:rsidP="00994F65">
            <w:pPr>
              <w:pStyle w:val="ConsPlusTitle"/>
              <w:ind w:firstLine="317"/>
              <w:jc w:val="both"/>
              <w:rPr>
                <w:b w:val="0"/>
                <w:sz w:val="24"/>
                <w:szCs w:val="24"/>
              </w:rPr>
            </w:pPr>
            <w:r w:rsidRPr="00994F65">
              <w:rPr>
                <w:b w:val="0"/>
                <w:sz w:val="24"/>
                <w:szCs w:val="24"/>
              </w:rPr>
              <w:t xml:space="preserve">Если денежные средства принимаются </w:t>
            </w:r>
            <w:r w:rsidR="002B2798">
              <w:rPr>
                <w:b w:val="0"/>
                <w:sz w:val="24"/>
                <w:szCs w:val="24"/>
              </w:rPr>
              <w:t xml:space="preserve">              </w:t>
            </w:r>
            <w:r w:rsidRPr="00994F65">
              <w:rPr>
                <w:b w:val="0"/>
                <w:sz w:val="24"/>
                <w:szCs w:val="24"/>
              </w:rPr>
              <w:t>от покупателя (клиента) до или после выдачи ему товара (работ, услуг), комиссионер (агент) применяет ККТ как в момент получения денежных средств, так и в момент выдачи товаров (работ, услуг). Когда комиссионеры (агенты), осуществляющие прием денежных средств и выдачу товаров (работ, услуг), являются разными лицами, каждый из них должен применять ККТ в вышеуказанном порядке.</w:t>
            </w:r>
          </w:p>
          <w:p w:rsidR="00994F65" w:rsidRPr="00994F65" w:rsidRDefault="00994F65" w:rsidP="00994F65">
            <w:pPr>
              <w:pStyle w:val="ConsPlusTitle"/>
              <w:ind w:firstLine="317"/>
              <w:jc w:val="both"/>
              <w:rPr>
                <w:b w:val="0"/>
                <w:sz w:val="24"/>
                <w:szCs w:val="24"/>
              </w:rPr>
            </w:pPr>
            <w:proofErr w:type="gramStart"/>
            <w:r w:rsidRPr="00994F65">
              <w:rPr>
                <w:b w:val="0"/>
                <w:sz w:val="24"/>
                <w:szCs w:val="24"/>
              </w:rPr>
              <w:t>Если деньги принимает поставщик товаров (работ, услуг), а товар (работы, услуги) выдает комиссионер (агент), то при приеме денежных средств ККТ применяет поставщик товаров (работ, услуг).</w:t>
            </w:r>
            <w:proofErr w:type="gramEnd"/>
            <w:r w:rsidRPr="00994F65">
              <w:rPr>
                <w:b w:val="0"/>
                <w:sz w:val="24"/>
                <w:szCs w:val="24"/>
              </w:rPr>
              <w:t xml:space="preserve"> Если же поставщик также сам и выдал товары (работы, услуги) покупателю, то он должен применить ККТ и при выдаче товаров (работ, услуг).</w:t>
            </w:r>
          </w:p>
          <w:p w:rsidR="00994F65" w:rsidRPr="00994F65" w:rsidRDefault="00994F65" w:rsidP="00994F65">
            <w:pPr>
              <w:pStyle w:val="ConsPlusTitle"/>
              <w:ind w:firstLine="317"/>
              <w:jc w:val="both"/>
              <w:rPr>
                <w:b w:val="0"/>
                <w:sz w:val="24"/>
                <w:szCs w:val="24"/>
              </w:rPr>
            </w:pPr>
            <w:proofErr w:type="gramStart"/>
            <w:r w:rsidRPr="00994F65">
              <w:rPr>
                <w:b w:val="0"/>
                <w:sz w:val="24"/>
                <w:szCs w:val="24"/>
              </w:rPr>
              <w:t>Если комиссионер (агент) принимает деньги от покупателей (клиентов) и (или) выдает товар (работы, услуги) покупателю (клиенту), а поставщик товаров (работ, услуг) является лицом, имеющим право не применять ККТ, то комиссионер при приеме денег и выдаче покупателю товаров (работ, услуг) обязан применять ККТ.</w:t>
            </w:r>
            <w:proofErr w:type="gramEnd"/>
          </w:p>
          <w:p w:rsidR="00994F65" w:rsidRPr="00994F65" w:rsidRDefault="00994F65" w:rsidP="00994F65">
            <w:pPr>
              <w:pStyle w:val="ConsPlusTitle"/>
              <w:ind w:firstLine="317"/>
              <w:jc w:val="both"/>
              <w:rPr>
                <w:b w:val="0"/>
                <w:sz w:val="24"/>
                <w:szCs w:val="24"/>
              </w:rPr>
            </w:pPr>
            <w:r w:rsidRPr="00994F65">
              <w:rPr>
                <w:b w:val="0"/>
                <w:sz w:val="24"/>
                <w:szCs w:val="24"/>
              </w:rPr>
              <w:t>6. Расчеты с использованием электронного средства платежа с его предъявлением.</w:t>
            </w:r>
          </w:p>
          <w:p w:rsidR="00994F65" w:rsidRPr="00994F65" w:rsidRDefault="00994F65" w:rsidP="00994F65">
            <w:pPr>
              <w:pStyle w:val="ConsPlusTitle"/>
              <w:ind w:firstLine="317"/>
              <w:jc w:val="both"/>
              <w:rPr>
                <w:b w:val="0"/>
                <w:sz w:val="24"/>
                <w:szCs w:val="24"/>
              </w:rPr>
            </w:pPr>
            <w:r w:rsidRPr="00994F65">
              <w:rPr>
                <w:b w:val="0"/>
                <w:sz w:val="24"/>
                <w:szCs w:val="24"/>
              </w:rPr>
              <w:lastRenderedPageBreak/>
              <w:t>Поправками, в том числе, вводится уточнение: под термином «расчеты», предполагающим применение ККТ, также следует понимать использование системы быстрых платежей (СПБ). Таким образом, если расчет с физическим лицом организация либо индивидуальный предприниматель осуществляют с применением СБП, то они обязаны применить ККТ.</w:t>
            </w:r>
          </w:p>
          <w:p w:rsidR="00994F65" w:rsidRPr="00994F65" w:rsidRDefault="00994F65" w:rsidP="00994F65">
            <w:pPr>
              <w:pStyle w:val="ConsPlusTitle"/>
              <w:ind w:firstLine="317"/>
              <w:jc w:val="both"/>
              <w:rPr>
                <w:b w:val="0"/>
                <w:sz w:val="24"/>
                <w:szCs w:val="24"/>
              </w:rPr>
            </w:pPr>
            <w:proofErr w:type="gramStart"/>
            <w:r w:rsidRPr="00994F65">
              <w:rPr>
                <w:b w:val="0"/>
                <w:sz w:val="24"/>
                <w:szCs w:val="24"/>
              </w:rPr>
              <w:t>Согласно новому пункту 2.2</w:t>
            </w:r>
            <w:r w:rsidR="00262D33">
              <w:rPr>
                <w:b w:val="0"/>
                <w:sz w:val="24"/>
                <w:szCs w:val="24"/>
              </w:rPr>
              <w:t xml:space="preserve"> </w:t>
            </w:r>
            <w:r w:rsidRPr="00994F65">
              <w:rPr>
                <w:b w:val="0"/>
                <w:sz w:val="24"/>
                <w:szCs w:val="24"/>
              </w:rPr>
              <w:t xml:space="preserve">статьи 1.2 Федерального закона № 54-ФЗ - расчетами </w:t>
            </w:r>
            <w:r w:rsidR="00262D33">
              <w:rPr>
                <w:b w:val="0"/>
                <w:sz w:val="24"/>
                <w:szCs w:val="24"/>
              </w:rPr>
              <w:t xml:space="preserve">             </w:t>
            </w:r>
            <w:r w:rsidRPr="00994F65">
              <w:rPr>
                <w:b w:val="0"/>
                <w:sz w:val="24"/>
                <w:szCs w:val="24"/>
              </w:rPr>
              <w:t xml:space="preserve">с использованием электронного средства платежа с его предъявлением признаются расчеты, осуществляемые путем перевода денежных средств с использованием электронного средства платежа, включая платежную карту, в том числе перевода денежных средств в рамках сервиса быстрых платежей платежной системы Банка России, при непосредственном взаимодействии покупателя (клиента) с пользователем </w:t>
            </w:r>
            <w:r w:rsidR="00262D33">
              <w:rPr>
                <w:b w:val="0"/>
                <w:sz w:val="24"/>
                <w:szCs w:val="24"/>
              </w:rPr>
              <w:t xml:space="preserve">                     </w:t>
            </w:r>
            <w:r w:rsidRPr="00994F65">
              <w:rPr>
                <w:b w:val="0"/>
                <w:sz w:val="24"/>
                <w:szCs w:val="24"/>
              </w:rPr>
              <w:t>или уполномоченным им лицом либо</w:t>
            </w:r>
            <w:proofErr w:type="gramEnd"/>
            <w:r w:rsidRPr="00994F65">
              <w:rPr>
                <w:b w:val="0"/>
                <w:sz w:val="24"/>
                <w:szCs w:val="24"/>
              </w:rPr>
              <w:t xml:space="preserve"> </w:t>
            </w:r>
            <w:r w:rsidR="00262D33">
              <w:rPr>
                <w:b w:val="0"/>
                <w:sz w:val="24"/>
                <w:szCs w:val="24"/>
              </w:rPr>
              <w:t xml:space="preserve">                         </w:t>
            </w:r>
            <w:r w:rsidRPr="00994F65">
              <w:rPr>
                <w:b w:val="0"/>
                <w:sz w:val="24"/>
                <w:szCs w:val="24"/>
              </w:rPr>
              <w:t>с автоматическим устройством для расчетов.</w:t>
            </w:r>
          </w:p>
          <w:p w:rsidR="00994F65" w:rsidRPr="00994F65" w:rsidRDefault="00994F65" w:rsidP="00994F65">
            <w:pPr>
              <w:pStyle w:val="ConsPlusTitle"/>
              <w:ind w:firstLine="317"/>
              <w:jc w:val="both"/>
              <w:rPr>
                <w:b w:val="0"/>
                <w:sz w:val="24"/>
                <w:szCs w:val="24"/>
              </w:rPr>
            </w:pPr>
            <w:r w:rsidRPr="00994F65">
              <w:rPr>
                <w:b w:val="0"/>
                <w:sz w:val="24"/>
                <w:szCs w:val="24"/>
              </w:rPr>
              <w:t>7. Уточнены реквизиты кассового чека</w:t>
            </w:r>
          </w:p>
          <w:p w:rsidR="00994F65" w:rsidRPr="00994F65" w:rsidRDefault="00994F65" w:rsidP="00994F65">
            <w:pPr>
              <w:pStyle w:val="ConsPlusTitle"/>
              <w:ind w:firstLine="317"/>
              <w:jc w:val="both"/>
              <w:rPr>
                <w:b w:val="0"/>
                <w:sz w:val="24"/>
                <w:szCs w:val="24"/>
              </w:rPr>
            </w:pPr>
            <w:proofErr w:type="gramStart"/>
            <w:r w:rsidRPr="00994F65">
              <w:rPr>
                <w:b w:val="0"/>
                <w:sz w:val="24"/>
                <w:szCs w:val="24"/>
              </w:rPr>
              <w:t xml:space="preserve">Устанавливается, что форматами фискальных документов могут быть определены требования к качеству печати </w:t>
            </w:r>
            <w:r w:rsidR="00262D33">
              <w:rPr>
                <w:b w:val="0"/>
                <w:sz w:val="24"/>
                <w:szCs w:val="24"/>
              </w:rPr>
              <w:t xml:space="preserve">                   </w:t>
            </w:r>
            <w:r w:rsidRPr="00994F65">
              <w:rPr>
                <w:b w:val="0"/>
                <w:sz w:val="24"/>
                <w:szCs w:val="24"/>
              </w:rPr>
              <w:t xml:space="preserve">и размеру символов фискальных документов, отпечатанных на бумажных носителях, </w:t>
            </w:r>
            <w:r w:rsidR="00262D33">
              <w:rPr>
                <w:b w:val="0"/>
                <w:sz w:val="24"/>
                <w:szCs w:val="24"/>
              </w:rPr>
              <w:t xml:space="preserve">                    </w:t>
            </w:r>
            <w:r w:rsidRPr="00994F65">
              <w:rPr>
                <w:b w:val="0"/>
                <w:sz w:val="24"/>
                <w:szCs w:val="24"/>
              </w:rPr>
              <w:t xml:space="preserve">к качеству печати и размеру QR-кода </w:t>
            </w:r>
            <w:r w:rsidR="00262D33">
              <w:rPr>
                <w:b w:val="0"/>
                <w:sz w:val="24"/>
                <w:szCs w:val="24"/>
              </w:rPr>
              <w:t xml:space="preserve">                       </w:t>
            </w:r>
            <w:r w:rsidRPr="00994F65">
              <w:rPr>
                <w:b w:val="0"/>
                <w:sz w:val="24"/>
                <w:szCs w:val="24"/>
              </w:rPr>
              <w:t xml:space="preserve">на фискальных и иных документах, отпечатанных на бумажных носителях, </w:t>
            </w:r>
            <w:r w:rsidR="00262D33">
              <w:rPr>
                <w:b w:val="0"/>
                <w:sz w:val="24"/>
                <w:szCs w:val="24"/>
              </w:rPr>
              <w:t xml:space="preserve">                       </w:t>
            </w:r>
            <w:r w:rsidRPr="00994F65">
              <w:rPr>
                <w:b w:val="0"/>
                <w:sz w:val="24"/>
                <w:szCs w:val="24"/>
              </w:rPr>
              <w:t>а также к качеству и времени отображения QR-кода на дисплее автоматического устройства для расчетов и иных компьютерных устройств</w:t>
            </w:r>
            <w:proofErr w:type="gramEnd"/>
          </w:p>
          <w:p w:rsidR="008351AF" w:rsidRDefault="00994F65" w:rsidP="00994F65">
            <w:pPr>
              <w:pStyle w:val="ConsPlusTitle"/>
              <w:ind w:firstLine="317"/>
              <w:jc w:val="both"/>
              <w:rPr>
                <w:b w:val="0"/>
                <w:sz w:val="24"/>
                <w:szCs w:val="24"/>
              </w:rPr>
            </w:pPr>
            <w:r w:rsidRPr="00994F65">
              <w:rPr>
                <w:b w:val="0"/>
                <w:sz w:val="24"/>
                <w:szCs w:val="24"/>
              </w:rPr>
              <w:lastRenderedPageBreak/>
              <w:t>Предусматривается введение единых требований к качеству печати кассовых чеков, а именно: высота символов (строчные буквы) — не менее 2 мм, интервал между строками символов — не менее 0,5 мм, контрастность символов — не менее 40 %.</w:t>
            </w:r>
          </w:p>
          <w:p w:rsidR="00912B83" w:rsidRDefault="00912B83" w:rsidP="00994F65">
            <w:pPr>
              <w:pStyle w:val="ConsPlusTitle"/>
              <w:ind w:firstLine="317"/>
              <w:jc w:val="both"/>
              <w:rPr>
                <w:b w:val="0"/>
                <w:sz w:val="24"/>
                <w:szCs w:val="24"/>
              </w:rPr>
            </w:pPr>
          </w:p>
        </w:tc>
        <w:tc>
          <w:tcPr>
            <w:tcW w:w="1843" w:type="dxa"/>
          </w:tcPr>
          <w:p w:rsidR="008351AF" w:rsidRDefault="00C44A7C" w:rsidP="004543A4">
            <w:pPr>
              <w:pStyle w:val="a3"/>
              <w:ind w:left="-76" w:right="-56" w:firstLine="0"/>
              <w:jc w:val="center"/>
              <w:rPr>
                <w:sz w:val="24"/>
                <w:szCs w:val="24"/>
              </w:rPr>
            </w:pPr>
            <w:r>
              <w:rPr>
                <w:sz w:val="24"/>
                <w:szCs w:val="24"/>
              </w:rPr>
              <w:lastRenderedPageBreak/>
              <w:t>В соответствии с планом</w:t>
            </w:r>
          </w:p>
        </w:tc>
        <w:tc>
          <w:tcPr>
            <w:tcW w:w="3544" w:type="dxa"/>
          </w:tcPr>
          <w:p w:rsidR="008351AF" w:rsidRDefault="00CC36D4" w:rsidP="00912B83">
            <w:pPr>
              <w:jc w:val="both"/>
            </w:pPr>
            <w:r w:rsidRPr="0063705A">
              <w:t xml:space="preserve">На основании </w:t>
            </w:r>
            <w:proofErr w:type="gramStart"/>
            <w:r w:rsidRPr="0063705A">
              <w:t>вышеизложенного</w:t>
            </w:r>
            <w:proofErr w:type="gramEnd"/>
            <w:r w:rsidRPr="0063705A">
              <w:t xml:space="preserve"> комитет </w:t>
            </w:r>
            <w:r>
              <w:t xml:space="preserve">                  </w:t>
            </w:r>
            <w:r w:rsidRPr="0063705A">
              <w:t xml:space="preserve">по вопросам бюджета, экономики, финансовой </w:t>
            </w:r>
            <w:r>
              <w:t xml:space="preserve">                         </w:t>
            </w:r>
            <w:r w:rsidRPr="0063705A">
              <w:t xml:space="preserve">и налоговой политике </w:t>
            </w:r>
            <w:r>
              <w:t>р</w:t>
            </w:r>
            <w:r w:rsidR="00497821">
              <w:t>ешил принять информацию к сведению.</w:t>
            </w:r>
          </w:p>
        </w:tc>
      </w:tr>
      <w:tr w:rsidR="00497821" w:rsidRPr="001B3D90" w:rsidTr="00AE4530">
        <w:trPr>
          <w:trHeight w:val="344"/>
        </w:trPr>
        <w:tc>
          <w:tcPr>
            <w:tcW w:w="817" w:type="dxa"/>
          </w:tcPr>
          <w:p w:rsidR="00497821" w:rsidRDefault="005A4156" w:rsidP="002F3764">
            <w:pPr>
              <w:pStyle w:val="a3"/>
              <w:ind w:firstLine="0"/>
              <w:jc w:val="center"/>
              <w:rPr>
                <w:sz w:val="24"/>
                <w:szCs w:val="24"/>
              </w:rPr>
            </w:pPr>
            <w:r>
              <w:rPr>
                <w:sz w:val="24"/>
                <w:szCs w:val="24"/>
              </w:rPr>
              <w:lastRenderedPageBreak/>
              <w:t>5.</w:t>
            </w:r>
          </w:p>
        </w:tc>
        <w:tc>
          <w:tcPr>
            <w:tcW w:w="2552" w:type="dxa"/>
          </w:tcPr>
          <w:p w:rsidR="00497821" w:rsidRPr="008A1FFF" w:rsidRDefault="005A4156" w:rsidP="00AB5EAD">
            <w:pPr>
              <w:autoSpaceDE w:val="0"/>
              <w:autoSpaceDN w:val="0"/>
              <w:adjustRightInd w:val="0"/>
              <w:ind w:firstLine="317"/>
              <w:jc w:val="both"/>
              <w:rPr>
                <w:bCs/>
              </w:rPr>
            </w:pPr>
            <w:r w:rsidRPr="00870357">
              <w:rPr>
                <w:rFonts w:eastAsiaTheme="minorHAnsi"/>
                <w:bCs/>
                <w:lang w:eastAsia="en-US"/>
              </w:rPr>
              <w:t>Рассмотрение проекта федерального закона «О внесении изменений в часть вторую Налогового кодекса Российской Федерации», подготовленного</w:t>
            </w:r>
            <w:r w:rsidRPr="00870357">
              <w:rPr>
                <w:rFonts w:eastAsiaTheme="minorHAnsi"/>
                <w:lang w:eastAsia="en-US"/>
              </w:rPr>
              <w:t xml:space="preserve"> депутатами Государственной Думы И.А. </w:t>
            </w:r>
            <w:proofErr w:type="spellStart"/>
            <w:r w:rsidRPr="00870357">
              <w:rPr>
                <w:rFonts w:eastAsiaTheme="minorHAnsi"/>
                <w:lang w:eastAsia="en-US"/>
              </w:rPr>
              <w:t>Антропенко</w:t>
            </w:r>
            <w:proofErr w:type="spellEnd"/>
            <w:r w:rsidRPr="00870357">
              <w:rPr>
                <w:rFonts w:eastAsiaTheme="minorHAnsi"/>
                <w:lang w:eastAsia="en-US"/>
              </w:rPr>
              <w:t xml:space="preserve">, О.Н. </w:t>
            </w:r>
            <w:proofErr w:type="spellStart"/>
            <w:r w:rsidRPr="00870357">
              <w:rPr>
                <w:rFonts w:eastAsiaTheme="minorHAnsi"/>
                <w:lang w:eastAsia="en-US"/>
              </w:rPr>
              <w:t>Фадиной</w:t>
            </w:r>
            <w:proofErr w:type="spellEnd"/>
          </w:p>
        </w:tc>
        <w:tc>
          <w:tcPr>
            <w:tcW w:w="1701" w:type="dxa"/>
          </w:tcPr>
          <w:p w:rsidR="00883404" w:rsidRDefault="0095590A" w:rsidP="003610B8">
            <w:pPr>
              <w:pStyle w:val="a3"/>
              <w:ind w:firstLine="0"/>
              <w:rPr>
                <w:sz w:val="24"/>
                <w:szCs w:val="24"/>
              </w:rPr>
            </w:pPr>
            <w:r>
              <w:rPr>
                <w:sz w:val="24"/>
                <w:szCs w:val="24"/>
              </w:rPr>
              <w:t>Д</w:t>
            </w:r>
            <w:r w:rsidRPr="0095590A">
              <w:rPr>
                <w:sz w:val="24"/>
                <w:szCs w:val="24"/>
              </w:rPr>
              <w:t>епутат</w:t>
            </w:r>
            <w:r>
              <w:rPr>
                <w:sz w:val="24"/>
                <w:szCs w:val="24"/>
              </w:rPr>
              <w:t>ы</w:t>
            </w:r>
            <w:r w:rsidRPr="0095590A">
              <w:rPr>
                <w:sz w:val="24"/>
                <w:szCs w:val="24"/>
              </w:rPr>
              <w:t xml:space="preserve"> </w:t>
            </w:r>
            <w:proofErr w:type="spellStart"/>
            <w:proofErr w:type="gramStart"/>
            <w:r w:rsidRPr="0095590A">
              <w:rPr>
                <w:sz w:val="24"/>
                <w:szCs w:val="24"/>
              </w:rPr>
              <w:t>Государствен</w:t>
            </w:r>
            <w:r>
              <w:rPr>
                <w:sz w:val="24"/>
                <w:szCs w:val="24"/>
              </w:rPr>
              <w:t>-</w:t>
            </w:r>
            <w:r w:rsidRPr="0095590A">
              <w:rPr>
                <w:sz w:val="24"/>
                <w:szCs w:val="24"/>
              </w:rPr>
              <w:t>ной</w:t>
            </w:r>
            <w:proofErr w:type="spellEnd"/>
            <w:proofErr w:type="gramEnd"/>
            <w:r w:rsidRPr="0095590A">
              <w:rPr>
                <w:sz w:val="24"/>
                <w:szCs w:val="24"/>
              </w:rPr>
              <w:t xml:space="preserve"> Думы </w:t>
            </w:r>
            <w:proofErr w:type="spellStart"/>
            <w:r w:rsidRPr="0095590A">
              <w:rPr>
                <w:sz w:val="24"/>
                <w:szCs w:val="24"/>
              </w:rPr>
              <w:t>Антропенко</w:t>
            </w:r>
            <w:proofErr w:type="spellEnd"/>
            <w:r>
              <w:rPr>
                <w:sz w:val="24"/>
                <w:szCs w:val="24"/>
              </w:rPr>
              <w:t xml:space="preserve"> </w:t>
            </w:r>
            <w:r w:rsidRPr="0095590A">
              <w:rPr>
                <w:sz w:val="24"/>
                <w:szCs w:val="24"/>
              </w:rPr>
              <w:t xml:space="preserve">И.А., </w:t>
            </w:r>
            <w:proofErr w:type="spellStart"/>
            <w:r w:rsidRPr="0095590A">
              <w:rPr>
                <w:sz w:val="24"/>
                <w:szCs w:val="24"/>
              </w:rPr>
              <w:t>Фадиной</w:t>
            </w:r>
            <w:proofErr w:type="spellEnd"/>
            <w:r w:rsidRPr="0095590A">
              <w:rPr>
                <w:sz w:val="24"/>
                <w:szCs w:val="24"/>
              </w:rPr>
              <w:t xml:space="preserve"> </w:t>
            </w:r>
            <w:r w:rsidR="00883404" w:rsidRPr="0095590A">
              <w:rPr>
                <w:sz w:val="24"/>
                <w:szCs w:val="24"/>
              </w:rPr>
              <w:t>О.Н.</w:t>
            </w:r>
            <w:r w:rsidR="00883404">
              <w:rPr>
                <w:sz w:val="24"/>
                <w:szCs w:val="24"/>
              </w:rPr>
              <w:t>/</w:t>
            </w:r>
          </w:p>
          <w:p w:rsidR="00497821" w:rsidRDefault="00883404" w:rsidP="003610B8">
            <w:pPr>
              <w:pStyle w:val="a3"/>
              <w:ind w:firstLine="0"/>
              <w:rPr>
                <w:sz w:val="24"/>
                <w:szCs w:val="24"/>
              </w:rPr>
            </w:pPr>
            <w:r w:rsidRPr="0095590A">
              <w:rPr>
                <w:sz w:val="24"/>
                <w:szCs w:val="24"/>
              </w:rPr>
              <w:t xml:space="preserve"> </w:t>
            </w:r>
            <w:r w:rsidR="005A4156">
              <w:rPr>
                <w:sz w:val="24"/>
                <w:szCs w:val="24"/>
              </w:rPr>
              <w:t>Годзиш И.В.</w:t>
            </w:r>
            <w:r w:rsidR="0095590A">
              <w:rPr>
                <w:sz w:val="24"/>
                <w:szCs w:val="24"/>
              </w:rPr>
              <w:t>,</w:t>
            </w:r>
          </w:p>
          <w:p w:rsidR="005A4156" w:rsidRDefault="00F33C31" w:rsidP="003610B8">
            <w:pPr>
              <w:pStyle w:val="a3"/>
              <w:ind w:firstLine="0"/>
              <w:rPr>
                <w:sz w:val="24"/>
                <w:szCs w:val="24"/>
              </w:rPr>
            </w:pPr>
            <w:r>
              <w:rPr>
                <w:sz w:val="24"/>
                <w:szCs w:val="24"/>
              </w:rPr>
              <w:t>Усачева Е.Ю.</w:t>
            </w:r>
          </w:p>
        </w:tc>
        <w:tc>
          <w:tcPr>
            <w:tcW w:w="4961" w:type="dxa"/>
          </w:tcPr>
          <w:p w:rsidR="001372D8" w:rsidRPr="001372D8" w:rsidRDefault="001372D8" w:rsidP="001372D8">
            <w:pPr>
              <w:pStyle w:val="ConsPlusTitle"/>
              <w:ind w:firstLine="317"/>
              <w:jc w:val="both"/>
              <w:rPr>
                <w:b w:val="0"/>
                <w:sz w:val="24"/>
                <w:szCs w:val="24"/>
              </w:rPr>
            </w:pPr>
            <w:r w:rsidRPr="001372D8">
              <w:rPr>
                <w:b w:val="0"/>
                <w:sz w:val="24"/>
                <w:szCs w:val="24"/>
              </w:rPr>
              <w:t>Концепция переноса сроков уплаты налоговых платежей на более</w:t>
            </w:r>
            <w:r>
              <w:rPr>
                <w:b w:val="0"/>
                <w:sz w:val="24"/>
                <w:szCs w:val="24"/>
              </w:rPr>
              <w:t xml:space="preserve"> </w:t>
            </w:r>
            <w:r w:rsidRPr="001372D8">
              <w:rPr>
                <w:b w:val="0"/>
                <w:sz w:val="24"/>
                <w:szCs w:val="24"/>
              </w:rPr>
              <w:t>ранний срок путем внесения изменений в Налоговый кодекс Российской</w:t>
            </w:r>
            <w:r>
              <w:rPr>
                <w:b w:val="0"/>
                <w:sz w:val="24"/>
                <w:szCs w:val="24"/>
              </w:rPr>
              <w:t xml:space="preserve"> </w:t>
            </w:r>
            <w:r w:rsidRPr="001372D8">
              <w:rPr>
                <w:b w:val="0"/>
                <w:sz w:val="24"/>
                <w:szCs w:val="24"/>
              </w:rPr>
              <w:t>Федерации (далее – НК РФ) поддерживается. При этом предлагается</w:t>
            </w:r>
          </w:p>
          <w:p w:rsidR="001372D8" w:rsidRPr="001372D8" w:rsidRDefault="001372D8" w:rsidP="001372D8">
            <w:pPr>
              <w:pStyle w:val="ConsPlusTitle"/>
              <w:jc w:val="both"/>
              <w:rPr>
                <w:b w:val="0"/>
                <w:sz w:val="24"/>
                <w:szCs w:val="24"/>
              </w:rPr>
            </w:pPr>
            <w:r w:rsidRPr="001372D8">
              <w:rPr>
                <w:b w:val="0"/>
                <w:sz w:val="24"/>
                <w:szCs w:val="24"/>
              </w:rPr>
              <w:t>рассмотреть следующие замечания и предложения.</w:t>
            </w:r>
          </w:p>
          <w:p w:rsidR="001372D8" w:rsidRPr="001372D8" w:rsidRDefault="001372D8" w:rsidP="001372D8">
            <w:pPr>
              <w:pStyle w:val="ConsPlusTitle"/>
              <w:ind w:firstLine="317"/>
              <w:jc w:val="both"/>
              <w:rPr>
                <w:b w:val="0"/>
                <w:sz w:val="24"/>
                <w:szCs w:val="24"/>
              </w:rPr>
            </w:pPr>
            <w:r w:rsidRPr="001372D8">
              <w:rPr>
                <w:b w:val="0"/>
                <w:sz w:val="24"/>
                <w:szCs w:val="24"/>
              </w:rPr>
              <w:t>1. Рассматриваемым законопроектом предлагается перенести срок</w:t>
            </w:r>
            <w:r>
              <w:rPr>
                <w:b w:val="0"/>
                <w:sz w:val="24"/>
                <w:szCs w:val="24"/>
              </w:rPr>
              <w:t xml:space="preserve"> </w:t>
            </w:r>
            <w:r w:rsidRPr="001372D8">
              <w:rPr>
                <w:b w:val="0"/>
                <w:sz w:val="24"/>
                <w:szCs w:val="24"/>
              </w:rPr>
              <w:t>уплаты налогов с 28-го на 25-ое числа каждого месяца, при этом</w:t>
            </w:r>
            <w:r>
              <w:rPr>
                <w:b w:val="0"/>
                <w:sz w:val="24"/>
                <w:szCs w:val="24"/>
              </w:rPr>
              <w:t xml:space="preserve"> </w:t>
            </w:r>
            <w:r w:rsidRPr="001372D8">
              <w:rPr>
                <w:b w:val="0"/>
                <w:sz w:val="24"/>
                <w:szCs w:val="24"/>
              </w:rPr>
              <w:t>не изменяется срок подачи налоговой декларации (расчета, уведомления)</w:t>
            </w:r>
            <w:r>
              <w:rPr>
                <w:b w:val="0"/>
                <w:sz w:val="24"/>
                <w:szCs w:val="24"/>
              </w:rPr>
              <w:t xml:space="preserve"> </w:t>
            </w:r>
            <w:r w:rsidRPr="001372D8">
              <w:rPr>
                <w:b w:val="0"/>
                <w:sz w:val="24"/>
                <w:szCs w:val="24"/>
              </w:rPr>
              <w:t>(далее – расчетные документы), которые в соответствии с текущей редакцией</w:t>
            </w:r>
            <w:r>
              <w:rPr>
                <w:b w:val="0"/>
                <w:sz w:val="24"/>
                <w:szCs w:val="24"/>
              </w:rPr>
              <w:t xml:space="preserve"> </w:t>
            </w:r>
            <w:r w:rsidRPr="001372D8">
              <w:rPr>
                <w:b w:val="0"/>
                <w:sz w:val="24"/>
                <w:szCs w:val="24"/>
              </w:rPr>
              <w:t>НК РФ необходимо подавать не позднее 25-го числа каждого месяца. Однако</w:t>
            </w:r>
            <w:r>
              <w:rPr>
                <w:b w:val="0"/>
                <w:sz w:val="24"/>
                <w:szCs w:val="24"/>
              </w:rPr>
              <w:t xml:space="preserve"> </w:t>
            </w:r>
            <w:r w:rsidRPr="001372D8">
              <w:rPr>
                <w:b w:val="0"/>
                <w:sz w:val="24"/>
                <w:szCs w:val="24"/>
              </w:rPr>
              <w:t>установление одинакового срока подачи налоговой декларации и срока</w:t>
            </w:r>
            <w:r>
              <w:rPr>
                <w:b w:val="0"/>
                <w:sz w:val="24"/>
                <w:szCs w:val="24"/>
              </w:rPr>
              <w:t xml:space="preserve"> </w:t>
            </w:r>
            <w:r w:rsidRPr="001372D8">
              <w:rPr>
                <w:b w:val="0"/>
                <w:sz w:val="24"/>
                <w:szCs w:val="24"/>
              </w:rPr>
              <w:t>уплаты налога не оправдает цели принятия указанного законопроекта.</w:t>
            </w:r>
          </w:p>
          <w:p w:rsidR="001372D8" w:rsidRPr="001372D8" w:rsidRDefault="001372D8" w:rsidP="001372D8">
            <w:pPr>
              <w:pStyle w:val="ConsPlusTitle"/>
              <w:ind w:firstLine="317"/>
              <w:jc w:val="both"/>
              <w:rPr>
                <w:b w:val="0"/>
                <w:sz w:val="24"/>
                <w:szCs w:val="24"/>
              </w:rPr>
            </w:pPr>
            <w:r w:rsidRPr="001372D8">
              <w:rPr>
                <w:b w:val="0"/>
                <w:sz w:val="24"/>
                <w:szCs w:val="24"/>
              </w:rPr>
              <w:t>Сроки подачи расчетных документов должны быть раньше сроков</w:t>
            </w:r>
            <w:r>
              <w:rPr>
                <w:b w:val="0"/>
                <w:sz w:val="24"/>
                <w:szCs w:val="24"/>
              </w:rPr>
              <w:t xml:space="preserve"> </w:t>
            </w:r>
            <w:r w:rsidRPr="001372D8">
              <w:rPr>
                <w:b w:val="0"/>
                <w:sz w:val="24"/>
                <w:szCs w:val="24"/>
              </w:rPr>
              <w:t xml:space="preserve">уплаты налогов. В ином случае уплаченные налоги </w:t>
            </w:r>
            <w:r w:rsidR="00972D25">
              <w:rPr>
                <w:b w:val="0"/>
                <w:sz w:val="24"/>
                <w:szCs w:val="24"/>
              </w:rPr>
              <w:t xml:space="preserve">                                </w:t>
            </w:r>
            <w:r w:rsidRPr="001372D8">
              <w:rPr>
                <w:b w:val="0"/>
                <w:sz w:val="24"/>
                <w:szCs w:val="24"/>
              </w:rPr>
              <w:t>не могут быть оперативно</w:t>
            </w:r>
            <w:r>
              <w:rPr>
                <w:b w:val="0"/>
                <w:sz w:val="24"/>
                <w:szCs w:val="24"/>
              </w:rPr>
              <w:t xml:space="preserve"> </w:t>
            </w:r>
            <w:r w:rsidRPr="001372D8">
              <w:rPr>
                <w:b w:val="0"/>
                <w:sz w:val="24"/>
                <w:szCs w:val="24"/>
              </w:rPr>
              <w:t xml:space="preserve">распределены </w:t>
            </w:r>
            <w:r w:rsidR="00972D25">
              <w:rPr>
                <w:b w:val="0"/>
                <w:sz w:val="24"/>
                <w:szCs w:val="24"/>
              </w:rPr>
              <w:t xml:space="preserve">                                           </w:t>
            </w:r>
            <w:r w:rsidRPr="001372D8">
              <w:rPr>
                <w:b w:val="0"/>
                <w:sz w:val="24"/>
                <w:szCs w:val="24"/>
              </w:rPr>
              <w:t>в соответствии с пунктом 8 статьи 45 НК РФ.</w:t>
            </w:r>
          </w:p>
          <w:p w:rsidR="001372D8" w:rsidRPr="001372D8" w:rsidRDefault="001372D8" w:rsidP="001372D8">
            <w:pPr>
              <w:pStyle w:val="ConsPlusTitle"/>
              <w:ind w:firstLine="317"/>
              <w:jc w:val="both"/>
              <w:rPr>
                <w:b w:val="0"/>
                <w:sz w:val="24"/>
                <w:szCs w:val="24"/>
              </w:rPr>
            </w:pPr>
            <w:r w:rsidRPr="001372D8">
              <w:rPr>
                <w:b w:val="0"/>
                <w:sz w:val="24"/>
                <w:szCs w:val="24"/>
              </w:rPr>
              <w:t>2. Законопроект не содержит единого подхода по корректировке сроков</w:t>
            </w:r>
            <w:r w:rsidR="00972D25">
              <w:rPr>
                <w:b w:val="0"/>
                <w:sz w:val="24"/>
                <w:szCs w:val="24"/>
              </w:rPr>
              <w:t xml:space="preserve"> </w:t>
            </w:r>
            <w:r w:rsidRPr="001372D8">
              <w:rPr>
                <w:b w:val="0"/>
                <w:sz w:val="24"/>
                <w:szCs w:val="24"/>
              </w:rPr>
              <w:t>уплаты различных видов налогов. Например, законопроектом не учтена</w:t>
            </w:r>
            <w:r w:rsidR="008D30AC">
              <w:rPr>
                <w:b w:val="0"/>
                <w:sz w:val="24"/>
                <w:szCs w:val="24"/>
              </w:rPr>
              <w:t xml:space="preserve"> </w:t>
            </w:r>
            <w:r w:rsidRPr="001372D8">
              <w:rPr>
                <w:b w:val="0"/>
                <w:sz w:val="24"/>
                <w:szCs w:val="24"/>
              </w:rPr>
              <w:t xml:space="preserve">корректировка </w:t>
            </w:r>
            <w:r w:rsidRPr="001372D8">
              <w:rPr>
                <w:b w:val="0"/>
                <w:sz w:val="24"/>
                <w:szCs w:val="24"/>
              </w:rPr>
              <w:lastRenderedPageBreak/>
              <w:t>срока уплаты земельного налога, а также авансового платежа</w:t>
            </w:r>
            <w:r w:rsidR="008D30AC">
              <w:rPr>
                <w:b w:val="0"/>
                <w:sz w:val="24"/>
                <w:szCs w:val="24"/>
              </w:rPr>
              <w:t xml:space="preserve"> </w:t>
            </w:r>
            <w:r w:rsidRPr="001372D8">
              <w:rPr>
                <w:b w:val="0"/>
                <w:sz w:val="24"/>
                <w:szCs w:val="24"/>
              </w:rPr>
              <w:t>по единому сельскохозяйственному налогу. Такой подход противоречит</w:t>
            </w:r>
            <w:r w:rsidR="008D30AC">
              <w:rPr>
                <w:b w:val="0"/>
                <w:sz w:val="24"/>
                <w:szCs w:val="24"/>
              </w:rPr>
              <w:t xml:space="preserve"> </w:t>
            </w:r>
            <w:r w:rsidRPr="001372D8">
              <w:rPr>
                <w:b w:val="0"/>
                <w:sz w:val="24"/>
                <w:szCs w:val="24"/>
              </w:rPr>
              <w:t>концепции механизма единого налогового платежа (далее – ЕНП),</w:t>
            </w:r>
            <w:r w:rsidR="008D30AC">
              <w:rPr>
                <w:b w:val="0"/>
                <w:sz w:val="24"/>
                <w:szCs w:val="24"/>
              </w:rPr>
              <w:t xml:space="preserve"> </w:t>
            </w:r>
            <w:r w:rsidRPr="001372D8">
              <w:rPr>
                <w:b w:val="0"/>
                <w:sz w:val="24"/>
                <w:szCs w:val="24"/>
              </w:rPr>
              <w:t>введенного с 1 января 2023 года.</w:t>
            </w:r>
          </w:p>
          <w:p w:rsidR="001372D8" w:rsidRPr="001372D8" w:rsidRDefault="001372D8" w:rsidP="001372D8">
            <w:pPr>
              <w:pStyle w:val="ConsPlusTitle"/>
              <w:ind w:firstLine="317"/>
              <w:jc w:val="both"/>
              <w:rPr>
                <w:b w:val="0"/>
                <w:sz w:val="24"/>
                <w:szCs w:val="24"/>
              </w:rPr>
            </w:pPr>
            <w:r w:rsidRPr="001372D8">
              <w:rPr>
                <w:b w:val="0"/>
                <w:sz w:val="24"/>
                <w:szCs w:val="24"/>
              </w:rPr>
              <w:t>3. Пунктом 22 законопроекта предлагается в пункте 3 статьи 383 НК РФ</w:t>
            </w:r>
            <w:r w:rsidR="008D30AC">
              <w:rPr>
                <w:b w:val="0"/>
                <w:sz w:val="24"/>
                <w:szCs w:val="24"/>
              </w:rPr>
              <w:t xml:space="preserve"> </w:t>
            </w:r>
            <w:r w:rsidRPr="001372D8">
              <w:rPr>
                <w:b w:val="0"/>
                <w:sz w:val="24"/>
                <w:szCs w:val="24"/>
              </w:rPr>
              <w:t>(порядок и сроки уплаты налога на имущество организаций и авансовых</w:t>
            </w:r>
            <w:r w:rsidR="008D30AC">
              <w:rPr>
                <w:b w:val="0"/>
                <w:sz w:val="24"/>
                <w:szCs w:val="24"/>
              </w:rPr>
              <w:t xml:space="preserve"> </w:t>
            </w:r>
            <w:r w:rsidRPr="001372D8">
              <w:rPr>
                <w:b w:val="0"/>
                <w:sz w:val="24"/>
                <w:szCs w:val="24"/>
              </w:rPr>
              <w:t>платежей по налогу) слова «28-го числа» заменить словами «25-го числа».</w:t>
            </w:r>
          </w:p>
          <w:p w:rsidR="001372D8" w:rsidRPr="001372D8" w:rsidRDefault="001372D8" w:rsidP="001372D8">
            <w:pPr>
              <w:pStyle w:val="ConsPlusTitle"/>
              <w:ind w:firstLine="317"/>
              <w:jc w:val="both"/>
              <w:rPr>
                <w:b w:val="0"/>
                <w:sz w:val="24"/>
                <w:szCs w:val="24"/>
              </w:rPr>
            </w:pPr>
            <w:r w:rsidRPr="001372D8">
              <w:rPr>
                <w:b w:val="0"/>
                <w:sz w:val="24"/>
                <w:szCs w:val="24"/>
              </w:rPr>
              <w:t>При этом указанные слова в данном пункте отсутствуют. Норма об уплате</w:t>
            </w:r>
            <w:r w:rsidR="00790B42">
              <w:rPr>
                <w:b w:val="0"/>
                <w:sz w:val="24"/>
                <w:szCs w:val="24"/>
              </w:rPr>
              <w:t xml:space="preserve"> </w:t>
            </w:r>
            <w:r w:rsidRPr="001372D8">
              <w:rPr>
                <w:b w:val="0"/>
                <w:sz w:val="24"/>
                <w:szCs w:val="24"/>
              </w:rPr>
              <w:t>налога и авансовых платежей по налогу налогоплательщиками в срок</w:t>
            </w:r>
            <w:r w:rsidR="00790B42">
              <w:rPr>
                <w:b w:val="0"/>
                <w:sz w:val="24"/>
                <w:szCs w:val="24"/>
              </w:rPr>
              <w:t xml:space="preserve"> </w:t>
            </w:r>
            <w:r w:rsidRPr="001372D8">
              <w:rPr>
                <w:b w:val="0"/>
                <w:sz w:val="24"/>
                <w:szCs w:val="24"/>
              </w:rPr>
              <w:t xml:space="preserve">не позднее </w:t>
            </w:r>
            <w:r w:rsidR="00790B42">
              <w:rPr>
                <w:b w:val="0"/>
                <w:sz w:val="24"/>
                <w:szCs w:val="24"/>
              </w:rPr>
              <w:t xml:space="preserve">                </w:t>
            </w:r>
            <w:r w:rsidRPr="001372D8">
              <w:rPr>
                <w:b w:val="0"/>
                <w:sz w:val="24"/>
                <w:szCs w:val="24"/>
              </w:rPr>
              <w:t>28-го числа месяца установлена пунктом 1 указанной статьи.</w:t>
            </w:r>
          </w:p>
          <w:p w:rsidR="001372D8" w:rsidRPr="001372D8" w:rsidRDefault="001372D8" w:rsidP="001372D8">
            <w:pPr>
              <w:pStyle w:val="ConsPlusTitle"/>
              <w:ind w:firstLine="317"/>
              <w:jc w:val="both"/>
              <w:rPr>
                <w:b w:val="0"/>
                <w:sz w:val="24"/>
                <w:szCs w:val="24"/>
              </w:rPr>
            </w:pPr>
            <w:r w:rsidRPr="001372D8">
              <w:rPr>
                <w:b w:val="0"/>
                <w:sz w:val="24"/>
                <w:szCs w:val="24"/>
              </w:rPr>
              <w:t xml:space="preserve">Аналогичная ошибка присутствует </w:t>
            </w:r>
            <w:r w:rsidR="00790B42">
              <w:rPr>
                <w:b w:val="0"/>
                <w:sz w:val="24"/>
                <w:szCs w:val="24"/>
              </w:rPr>
              <w:t xml:space="preserve">                          </w:t>
            </w:r>
            <w:r w:rsidRPr="001372D8">
              <w:rPr>
                <w:b w:val="0"/>
                <w:sz w:val="24"/>
                <w:szCs w:val="24"/>
              </w:rPr>
              <w:t>в пункте 9 законопроекта.</w:t>
            </w:r>
          </w:p>
          <w:p w:rsidR="001372D8" w:rsidRPr="001372D8" w:rsidRDefault="001372D8" w:rsidP="001372D8">
            <w:pPr>
              <w:pStyle w:val="ConsPlusTitle"/>
              <w:ind w:firstLine="317"/>
              <w:jc w:val="both"/>
              <w:rPr>
                <w:b w:val="0"/>
                <w:sz w:val="24"/>
                <w:szCs w:val="24"/>
              </w:rPr>
            </w:pPr>
            <w:r w:rsidRPr="001372D8">
              <w:rPr>
                <w:b w:val="0"/>
                <w:sz w:val="24"/>
                <w:szCs w:val="24"/>
              </w:rPr>
              <w:t xml:space="preserve">4. Сроки уплаты налога в связи </w:t>
            </w:r>
            <w:r w:rsidR="00790B42">
              <w:rPr>
                <w:b w:val="0"/>
                <w:sz w:val="24"/>
                <w:szCs w:val="24"/>
              </w:rPr>
              <w:t xml:space="preserve">                                  </w:t>
            </w:r>
            <w:r w:rsidRPr="001372D8">
              <w:rPr>
                <w:b w:val="0"/>
                <w:sz w:val="24"/>
                <w:szCs w:val="24"/>
              </w:rPr>
              <w:t>с применением патентной системы</w:t>
            </w:r>
            <w:r w:rsidR="00790B42">
              <w:rPr>
                <w:b w:val="0"/>
                <w:sz w:val="24"/>
                <w:szCs w:val="24"/>
              </w:rPr>
              <w:t xml:space="preserve"> </w:t>
            </w:r>
            <w:r w:rsidRPr="001372D8">
              <w:rPr>
                <w:b w:val="0"/>
                <w:sz w:val="24"/>
                <w:szCs w:val="24"/>
              </w:rPr>
              <w:t xml:space="preserve">налогообложения (далее – ПСН), </w:t>
            </w:r>
            <w:r w:rsidR="00FF67AC">
              <w:rPr>
                <w:b w:val="0"/>
                <w:sz w:val="24"/>
                <w:szCs w:val="24"/>
              </w:rPr>
              <w:t xml:space="preserve">                                        </w:t>
            </w:r>
            <w:r w:rsidRPr="001372D8">
              <w:rPr>
                <w:b w:val="0"/>
                <w:sz w:val="24"/>
                <w:szCs w:val="24"/>
              </w:rPr>
              <w:t>не синхронизированы со сроками уплаты</w:t>
            </w:r>
            <w:r w:rsidR="00FF67AC">
              <w:rPr>
                <w:b w:val="0"/>
                <w:sz w:val="24"/>
                <w:szCs w:val="24"/>
              </w:rPr>
              <w:t xml:space="preserve"> </w:t>
            </w:r>
            <w:r w:rsidRPr="001372D8">
              <w:rPr>
                <w:b w:val="0"/>
                <w:sz w:val="24"/>
                <w:szCs w:val="24"/>
              </w:rPr>
              <w:t>иных налогов в рамках уплаты ЕНП.</w:t>
            </w:r>
          </w:p>
          <w:p w:rsidR="00497821" w:rsidRDefault="00497821" w:rsidP="006D0026">
            <w:pPr>
              <w:pStyle w:val="ConsPlusTitle"/>
              <w:ind w:firstLine="317"/>
              <w:jc w:val="both"/>
              <w:rPr>
                <w:b w:val="0"/>
                <w:sz w:val="24"/>
                <w:szCs w:val="24"/>
              </w:rPr>
            </w:pPr>
          </w:p>
        </w:tc>
        <w:tc>
          <w:tcPr>
            <w:tcW w:w="1843" w:type="dxa"/>
          </w:tcPr>
          <w:p w:rsidR="00497821" w:rsidRDefault="005E1FC9" w:rsidP="004543A4">
            <w:pPr>
              <w:pStyle w:val="a3"/>
              <w:ind w:left="-76" w:right="-56" w:firstLine="0"/>
              <w:jc w:val="center"/>
              <w:rPr>
                <w:sz w:val="24"/>
                <w:szCs w:val="24"/>
              </w:rPr>
            </w:pPr>
            <w:r>
              <w:rPr>
                <w:sz w:val="24"/>
                <w:szCs w:val="24"/>
              </w:rPr>
              <w:lastRenderedPageBreak/>
              <w:t>Вне плана</w:t>
            </w:r>
          </w:p>
        </w:tc>
        <w:tc>
          <w:tcPr>
            <w:tcW w:w="3544" w:type="dxa"/>
          </w:tcPr>
          <w:p w:rsidR="00497821" w:rsidRDefault="00912B83" w:rsidP="00622344">
            <w:pPr>
              <w:ind w:firstLine="317"/>
              <w:jc w:val="both"/>
            </w:pPr>
            <w:r w:rsidRPr="0063705A">
              <w:t xml:space="preserve">На основании вышеизложенного комитет </w:t>
            </w:r>
            <w:r>
              <w:t xml:space="preserve">                  </w:t>
            </w:r>
            <w:r w:rsidRPr="0063705A">
              <w:t xml:space="preserve">по вопросам бюджета, экономики, финансовой </w:t>
            </w:r>
            <w:r>
              <w:t xml:space="preserve">                         </w:t>
            </w:r>
            <w:r w:rsidRPr="0063705A">
              <w:t xml:space="preserve">и налоговой политике </w:t>
            </w:r>
            <w:r w:rsidR="00622344">
              <w:t>р</w:t>
            </w:r>
            <w:r w:rsidR="005E1FC9">
              <w:t>ешил</w:t>
            </w:r>
            <w:r w:rsidR="00883404" w:rsidRPr="001372D8">
              <w:t>,</w:t>
            </w:r>
            <w:r w:rsidR="00883404">
              <w:t xml:space="preserve"> что</w:t>
            </w:r>
            <w:r w:rsidR="00883404" w:rsidRPr="001372D8">
              <w:t xml:space="preserve"> </w:t>
            </w:r>
            <w:r w:rsidR="003D6A22">
              <w:t xml:space="preserve">концепция </w:t>
            </w:r>
            <w:r w:rsidR="00883404" w:rsidRPr="001372D8">
              <w:t>представленн</w:t>
            </w:r>
            <w:r w:rsidR="003D6A22">
              <w:t>ого</w:t>
            </w:r>
            <w:r w:rsidR="00883404" w:rsidRPr="001372D8">
              <w:t xml:space="preserve"> законопроект</w:t>
            </w:r>
            <w:r w:rsidR="003D6A22">
              <w:t>а</w:t>
            </w:r>
            <w:r w:rsidR="00883404" w:rsidRPr="001372D8">
              <w:t xml:space="preserve"> </w:t>
            </w:r>
            <w:r w:rsidR="00151F5B">
              <w:t xml:space="preserve">поддерживается. Однако законопроект  </w:t>
            </w:r>
            <w:r w:rsidR="00883404" w:rsidRPr="001372D8">
              <w:t>нуждается</w:t>
            </w:r>
            <w:r w:rsidR="00883404">
              <w:rPr>
                <w:b/>
              </w:rPr>
              <w:t xml:space="preserve"> </w:t>
            </w:r>
            <w:r w:rsidR="00883404" w:rsidRPr="001372D8">
              <w:t>в доработке</w:t>
            </w:r>
            <w:r w:rsidR="00A56C98">
              <w:t xml:space="preserve"> </w:t>
            </w:r>
            <w:r w:rsidR="00622344">
              <w:t xml:space="preserve">                            </w:t>
            </w:r>
            <w:r w:rsidR="00A56C98">
              <w:t xml:space="preserve">и необходимо </w:t>
            </w:r>
            <w:r w:rsidR="001F63D5">
              <w:t>подготовить письмо</w:t>
            </w:r>
            <w:r w:rsidR="00622344">
              <w:t xml:space="preserve"> </w:t>
            </w:r>
            <w:r w:rsidR="005F6716">
              <w:t xml:space="preserve">от областного Собрания депутатов </w:t>
            </w:r>
            <w:r w:rsidR="001F63D5">
              <w:t xml:space="preserve">в адрес авторов законопроекта – депутатов Государственной Думы </w:t>
            </w:r>
            <w:proofErr w:type="spellStart"/>
            <w:r w:rsidR="00450E87" w:rsidRPr="00870357">
              <w:rPr>
                <w:rFonts w:eastAsiaTheme="minorHAnsi"/>
                <w:lang w:eastAsia="en-US"/>
              </w:rPr>
              <w:t>Антропенко</w:t>
            </w:r>
            <w:proofErr w:type="spellEnd"/>
            <w:r w:rsidR="00450E87">
              <w:rPr>
                <w:rFonts w:eastAsiaTheme="minorHAnsi"/>
                <w:lang w:eastAsia="en-US"/>
              </w:rPr>
              <w:t xml:space="preserve"> </w:t>
            </w:r>
            <w:r w:rsidR="00450E87" w:rsidRPr="00870357">
              <w:rPr>
                <w:rFonts w:eastAsiaTheme="minorHAnsi"/>
                <w:lang w:eastAsia="en-US"/>
              </w:rPr>
              <w:t>И.А.</w:t>
            </w:r>
            <w:r w:rsidR="00450E87">
              <w:rPr>
                <w:rFonts w:eastAsiaTheme="minorHAnsi"/>
                <w:lang w:eastAsia="en-US"/>
              </w:rPr>
              <w:t xml:space="preserve"> </w:t>
            </w:r>
            <w:r w:rsidR="0095590A">
              <w:rPr>
                <w:rFonts w:eastAsiaTheme="minorHAnsi"/>
                <w:lang w:eastAsia="en-US"/>
              </w:rPr>
              <w:t xml:space="preserve">                              </w:t>
            </w:r>
            <w:r w:rsidR="00450E87">
              <w:rPr>
                <w:rFonts w:eastAsiaTheme="minorHAnsi"/>
                <w:lang w:eastAsia="en-US"/>
              </w:rPr>
              <w:t>и</w:t>
            </w:r>
            <w:r w:rsidR="00622344">
              <w:rPr>
                <w:rFonts w:eastAsiaTheme="minorHAnsi"/>
                <w:lang w:eastAsia="en-US"/>
              </w:rPr>
              <w:t xml:space="preserve"> </w:t>
            </w:r>
            <w:proofErr w:type="spellStart"/>
            <w:r w:rsidR="00450E87" w:rsidRPr="00870357">
              <w:rPr>
                <w:rFonts w:eastAsiaTheme="minorHAnsi"/>
                <w:lang w:eastAsia="en-US"/>
              </w:rPr>
              <w:t>Фадиной</w:t>
            </w:r>
            <w:proofErr w:type="spellEnd"/>
            <w:r w:rsidR="00450E87">
              <w:t xml:space="preserve"> </w:t>
            </w:r>
            <w:r w:rsidR="00450E87" w:rsidRPr="00870357">
              <w:rPr>
                <w:rFonts w:eastAsiaTheme="minorHAnsi"/>
                <w:lang w:eastAsia="en-US"/>
              </w:rPr>
              <w:t xml:space="preserve">О.Н. </w:t>
            </w:r>
            <w:r w:rsidR="003D6A22">
              <w:rPr>
                <w:rFonts w:eastAsiaTheme="minorHAnsi"/>
                <w:lang w:eastAsia="en-US"/>
              </w:rPr>
              <w:t xml:space="preserve">                                                        </w:t>
            </w:r>
            <w:r w:rsidR="006D7C99">
              <w:t xml:space="preserve">с предложениями </w:t>
            </w:r>
            <w:r w:rsidR="003D6A22">
              <w:t xml:space="preserve">по </w:t>
            </w:r>
            <w:r w:rsidR="005F6716">
              <w:t>внесению в него изменений</w:t>
            </w:r>
            <w:r w:rsidR="003D6A22">
              <w:t>.</w:t>
            </w:r>
            <w:r w:rsidR="006D7C99">
              <w:t xml:space="preserve"> </w:t>
            </w:r>
          </w:p>
        </w:tc>
      </w:tr>
    </w:tbl>
    <w:p w:rsidR="008D4C76" w:rsidRDefault="008D4C76" w:rsidP="00CB40EB"/>
    <w:sectPr w:rsidR="008D4C76" w:rsidSect="00CB40EB">
      <w:headerReference w:type="even" r:id="rId8"/>
      <w:headerReference w:type="default" r:id="rId9"/>
      <w:pgSz w:w="16838" w:h="11906" w:orient="landscape"/>
      <w:pgMar w:top="510" w:right="39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58" w:rsidRDefault="00692158" w:rsidP="00FB2581">
      <w:r>
        <w:separator/>
      </w:r>
    </w:p>
  </w:endnote>
  <w:endnote w:type="continuationSeparator" w:id="0">
    <w:p w:rsidR="00692158" w:rsidRDefault="00692158"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58" w:rsidRDefault="00692158" w:rsidP="00FB2581">
      <w:r>
        <w:separator/>
      </w:r>
    </w:p>
  </w:footnote>
  <w:footnote w:type="continuationSeparator" w:id="0">
    <w:p w:rsidR="00692158" w:rsidRDefault="00692158"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56" w:rsidRDefault="005A4156"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4156" w:rsidRDefault="005A415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235"/>
      <w:docPartObj>
        <w:docPartGallery w:val="Page Numbers (Top of Page)"/>
        <w:docPartUnique/>
      </w:docPartObj>
    </w:sdtPr>
    <w:sdtContent>
      <w:p w:rsidR="005A4156" w:rsidRDefault="005A4156">
        <w:pPr>
          <w:pStyle w:val="a5"/>
          <w:jc w:val="center"/>
        </w:pPr>
        <w:fldSimple w:instr=" PAGE   \* MERGEFORMAT ">
          <w:r w:rsidR="00622344">
            <w:rPr>
              <w:noProof/>
            </w:rPr>
            <w:t>26</w:t>
          </w:r>
        </w:fldSimple>
      </w:p>
    </w:sdtContent>
  </w:sdt>
  <w:p w:rsidR="005A4156" w:rsidRDefault="005A4156" w:rsidP="00CB40E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5FF33F2"/>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8696C"/>
    <w:multiLevelType w:val="hybridMultilevel"/>
    <w:tmpl w:val="C22A7060"/>
    <w:lvl w:ilvl="0" w:tplc="FFAE6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3">
    <w:nsid w:val="5F102B65"/>
    <w:multiLevelType w:val="hybridMultilevel"/>
    <w:tmpl w:val="15CC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0A71B1"/>
    <w:multiLevelType w:val="hybridMultilevel"/>
    <w:tmpl w:val="59548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471FC7"/>
    <w:multiLevelType w:val="hybridMultilevel"/>
    <w:tmpl w:val="4F12FC0E"/>
    <w:lvl w:ilvl="0" w:tplc="2C620A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FF7872"/>
    <w:multiLevelType w:val="hybridMultilevel"/>
    <w:tmpl w:val="D9E4B85E"/>
    <w:lvl w:ilvl="0" w:tplc="0419000F">
      <w:start w:val="7"/>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12477D"/>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num>
  <w:num w:numId="2">
    <w:abstractNumId w:val="8"/>
  </w:num>
  <w:num w:numId="3">
    <w:abstractNumId w:val="20"/>
  </w:num>
  <w:num w:numId="4">
    <w:abstractNumId w:val="7"/>
  </w:num>
  <w:num w:numId="5">
    <w:abstractNumId w:val="19"/>
  </w:num>
  <w:num w:numId="6">
    <w:abstractNumId w:val="4"/>
  </w:num>
  <w:num w:numId="7">
    <w:abstractNumId w:val="5"/>
  </w:num>
  <w:num w:numId="8">
    <w:abstractNumId w:val="6"/>
  </w:num>
  <w:num w:numId="9">
    <w:abstractNumId w:val="3"/>
  </w:num>
  <w:num w:numId="10">
    <w:abstractNumId w:val="9"/>
  </w:num>
  <w:num w:numId="11">
    <w:abstractNumId w:val="22"/>
  </w:num>
  <w:num w:numId="12">
    <w:abstractNumId w:val="10"/>
  </w:num>
  <w:num w:numId="13">
    <w:abstractNumId w:val="23"/>
  </w:num>
  <w:num w:numId="14">
    <w:abstractNumId w:val="12"/>
  </w:num>
  <w:num w:numId="15">
    <w:abstractNumId w:val="1"/>
  </w:num>
  <w:num w:numId="16">
    <w:abstractNumId w:val="0"/>
  </w:num>
  <w:num w:numId="17">
    <w:abstractNumId w:val="14"/>
  </w:num>
  <w:num w:numId="18">
    <w:abstractNumId w:val="17"/>
  </w:num>
  <w:num w:numId="19">
    <w:abstractNumId w:val="21"/>
  </w:num>
  <w:num w:numId="20">
    <w:abstractNumId w:val="2"/>
  </w:num>
  <w:num w:numId="21">
    <w:abstractNumId w:val="11"/>
  </w:num>
  <w:num w:numId="22">
    <w:abstractNumId w:val="16"/>
  </w:num>
  <w:num w:numId="23">
    <w:abstractNumId w:val="1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9ED"/>
    <w:rsid w:val="000009F9"/>
    <w:rsid w:val="00004BB6"/>
    <w:rsid w:val="00007E85"/>
    <w:rsid w:val="00022E7E"/>
    <w:rsid w:val="00023339"/>
    <w:rsid w:val="0002457A"/>
    <w:rsid w:val="00024B62"/>
    <w:rsid w:val="00030914"/>
    <w:rsid w:val="00031E4C"/>
    <w:rsid w:val="00051AC4"/>
    <w:rsid w:val="0005446F"/>
    <w:rsid w:val="00056C02"/>
    <w:rsid w:val="00057E63"/>
    <w:rsid w:val="000608F4"/>
    <w:rsid w:val="00063456"/>
    <w:rsid w:val="00067FB3"/>
    <w:rsid w:val="0007156C"/>
    <w:rsid w:val="000737D3"/>
    <w:rsid w:val="00091986"/>
    <w:rsid w:val="00094101"/>
    <w:rsid w:val="000952B2"/>
    <w:rsid w:val="00097340"/>
    <w:rsid w:val="000A356A"/>
    <w:rsid w:val="000A6297"/>
    <w:rsid w:val="000A6B07"/>
    <w:rsid w:val="000A7DF3"/>
    <w:rsid w:val="000B0506"/>
    <w:rsid w:val="000B0BD6"/>
    <w:rsid w:val="000B12BC"/>
    <w:rsid w:val="000B5C76"/>
    <w:rsid w:val="000C09C5"/>
    <w:rsid w:val="000C169A"/>
    <w:rsid w:val="000E3E56"/>
    <w:rsid w:val="000E6BB9"/>
    <w:rsid w:val="000F1DB4"/>
    <w:rsid w:val="000F432B"/>
    <w:rsid w:val="000F59BA"/>
    <w:rsid w:val="000F6C21"/>
    <w:rsid w:val="000F6FC6"/>
    <w:rsid w:val="0010287C"/>
    <w:rsid w:val="00104590"/>
    <w:rsid w:val="0011070C"/>
    <w:rsid w:val="001178B8"/>
    <w:rsid w:val="00120764"/>
    <w:rsid w:val="001222CD"/>
    <w:rsid w:val="00122E29"/>
    <w:rsid w:val="00125506"/>
    <w:rsid w:val="0012754F"/>
    <w:rsid w:val="00132573"/>
    <w:rsid w:val="001372D8"/>
    <w:rsid w:val="00142893"/>
    <w:rsid w:val="0014393E"/>
    <w:rsid w:val="001476F2"/>
    <w:rsid w:val="00151F5B"/>
    <w:rsid w:val="00161EE0"/>
    <w:rsid w:val="00163B32"/>
    <w:rsid w:val="00167C21"/>
    <w:rsid w:val="00167CC8"/>
    <w:rsid w:val="00174B2E"/>
    <w:rsid w:val="001751A2"/>
    <w:rsid w:val="00175F4B"/>
    <w:rsid w:val="00182593"/>
    <w:rsid w:val="001879ED"/>
    <w:rsid w:val="001A1F84"/>
    <w:rsid w:val="001A2250"/>
    <w:rsid w:val="001A437E"/>
    <w:rsid w:val="001A5246"/>
    <w:rsid w:val="001B3D90"/>
    <w:rsid w:val="001C12D8"/>
    <w:rsid w:val="001C1BD7"/>
    <w:rsid w:val="001C4D0C"/>
    <w:rsid w:val="001C6EAF"/>
    <w:rsid w:val="001E54C9"/>
    <w:rsid w:val="001E5DC9"/>
    <w:rsid w:val="001F2AB5"/>
    <w:rsid w:val="001F5238"/>
    <w:rsid w:val="001F63D5"/>
    <w:rsid w:val="00204F4B"/>
    <w:rsid w:val="00212A96"/>
    <w:rsid w:val="00215DB8"/>
    <w:rsid w:val="00222D56"/>
    <w:rsid w:val="0022432A"/>
    <w:rsid w:val="00225C50"/>
    <w:rsid w:val="0022746E"/>
    <w:rsid w:val="00227528"/>
    <w:rsid w:val="00231484"/>
    <w:rsid w:val="00235610"/>
    <w:rsid w:val="0023644D"/>
    <w:rsid w:val="00246CDD"/>
    <w:rsid w:val="002550CC"/>
    <w:rsid w:val="002564BC"/>
    <w:rsid w:val="00262D33"/>
    <w:rsid w:val="00264006"/>
    <w:rsid w:val="0026497F"/>
    <w:rsid w:val="00264A90"/>
    <w:rsid w:val="00266574"/>
    <w:rsid w:val="00266809"/>
    <w:rsid w:val="00266A94"/>
    <w:rsid w:val="00274AF3"/>
    <w:rsid w:val="002765F3"/>
    <w:rsid w:val="002774D1"/>
    <w:rsid w:val="00287926"/>
    <w:rsid w:val="002915F9"/>
    <w:rsid w:val="002935AF"/>
    <w:rsid w:val="002A0808"/>
    <w:rsid w:val="002A2783"/>
    <w:rsid w:val="002A5633"/>
    <w:rsid w:val="002A6706"/>
    <w:rsid w:val="002B2798"/>
    <w:rsid w:val="002C3A6E"/>
    <w:rsid w:val="002D5A36"/>
    <w:rsid w:val="002E3A9A"/>
    <w:rsid w:val="002F1B7B"/>
    <w:rsid w:val="002F3077"/>
    <w:rsid w:val="002F3764"/>
    <w:rsid w:val="002F6BCA"/>
    <w:rsid w:val="002F77D0"/>
    <w:rsid w:val="002F7926"/>
    <w:rsid w:val="00300039"/>
    <w:rsid w:val="00300A99"/>
    <w:rsid w:val="00304A73"/>
    <w:rsid w:val="00312CA2"/>
    <w:rsid w:val="00314CE5"/>
    <w:rsid w:val="00320E02"/>
    <w:rsid w:val="003266BF"/>
    <w:rsid w:val="003307E9"/>
    <w:rsid w:val="003353F6"/>
    <w:rsid w:val="003516A3"/>
    <w:rsid w:val="0035199A"/>
    <w:rsid w:val="00352212"/>
    <w:rsid w:val="00352AAD"/>
    <w:rsid w:val="003542B2"/>
    <w:rsid w:val="0035704B"/>
    <w:rsid w:val="0035784B"/>
    <w:rsid w:val="00361032"/>
    <w:rsid w:val="003610B8"/>
    <w:rsid w:val="0036446C"/>
    <w:rsid w:val="00365038"/>
    <w:rsid w:val="003665C6"/>
    <w:rsid w:val="00370B15"/>
    <w:rsid w:val="00377D48"/>
    <w:rsid w:val="00381F01"/>
    <w:rsid w:val="0038209E"/>
    <w:rsid w:val="00383CF9"/>
    <w:rsid w:val="00393BF7"/>
    <w:rsid w:val="00394915"/>
    <w:rsid w:val="003966C2"/>
    <w:rsid w:val="003A12C1"/>
    <w:rsid w:val="003A7F38"/>
    <w:rsid w:val="003B1C87"/>
    <w:rsid w:val="003B3519"/>
    <w:rsid w:val="003B76B9"/>
    <w:rsid w:val="003B7E79"/>
    <w:rsid w:val="003C0AB3"/>
    <w:rsid w:val="003C4310"/>
    <w:rsid w:val="003C7748"/>
    <w:rsid w:val="003D6A22"/>
    <w:rsid w:val="003D738A"/>
    <w:rsid w:val="003E036B"/>
    <w:rsid w:val="003E0DF5"/>
    <w:rsid w:val="003E0F14"/>
    <w:rsid w:val="003E120D"/>
    <w:rsid w:val="003E224D"/>
    <w:rsid w:val="003E48E9"/>
    <w:rsid w:val="003E5569"/>
    <w:rsid w:val="003E6686"/>
    <w:rsid w:val="003E6FEC"/>
    <w:rsid w:val="003F0D31"/>
    <w:rsid w:val="003F0D68"/>
    <w:rsid w:val="003F405A"/>
    <w:rsid w:val="003F7BA7"/>
    <w:rsid w:val="00410458"/>
    <w:rsid w:val="00412229"/>
    <w:rsid w:val="00413F5F"/>
    <w:rsid w:val="00413FD7"/>
    <w:rsid w:val="00416241"/>
    <w:rsid w:val="00416A54"/>
    <w:rsid w:val="00420A5A"/>
    <w:rsid w:val="00420C01"/>
    <w:rsid w:val="004245F5"/>
    <w:rsid w:val="00424D80"/>
    <w:rsid w:val="00424DA8"/>
    <w:rsid w:val="0043702D"/>
    <w:rsid w:val="00437632"/>
    <w:rsid w:val="0044582E"/>
    <w:rsid w:val="0044753E"/>
    <w:rsid w:val="00450E87"/>
    <w:rsid w:val="00452786"/>
    <w:rsid w:val="00453BDD"/>
    <w:rsid w:val="004543A4"/>
    <w:rsid w:val="00460AE4"/>
    <w:rsid w:val="00460C5B"/>
    <w:rsid w:val="004669D0"/>
    <w:rsid w:val="00467D69"/>
    <w:rsid w:val="00485BF1"/>
    <w:rsid w:val="00487A89"/>
    <w:rsid w:val="004940BA"/>
    <w:rsid w:val="00497821"/>
    <w:rsid w:val="004A06F4"/>
    <w:rsid w:val="004A0B43"/>
    <w:rsid w:val="004A1424"/>
    <w:rsid w:val="004B00D6"/>
    <w:rsid w:val="004B62DD"/>
    <w:rsid w:val="004C08EE"/>
    <w:rsid w:val="004C4190"/>
    <w:rsid w:val="004C5D0E"/>
    <w:rsid w:val="004D1945"/>
    <w:rsid w:val="004D22F4"/>
    <w:rsid w:val="004D5515"/>
    <w:rsid w:val="004E0ACF"/>
    <w:rsid w:val="004E154A"/>
    <w:rsid w:val="004E2972"/>
    <w:rsid w:val="00500425"/>
    <w:rsid w:val="0050065E"/>
    <w:rsid w:val="00501C86"/>
    <w:rsid w:val="00502D76"/>
    <w:rsid w:val="00505C9B"/>
    <w:rsid w:val="00513E37"/>
    <w:rsid w:val="005164D5"/>
    <w:rsid w:val="00516B5C"/>
    <w:rsid w:val="005252D0"/>
    <w:rsid w:val="0053240B"/>
    <w:rsid w:val="005342C0"/>
    <w:rsid w:val="0053563F"/>
    <w:rsid w:val="00535DBC"/>
    <w:rsid w:val="00543284"/>
    <w:rsid w:val="005436C0"/>
    <w:rsid w:val="00544AD0"/>
    <w:rsid w:val="00550CAA"/>
    <w:rsid w:val="00553845"/>
    <w:rsid w:val="00553D0A"/>
    <w:rsid w:val="00556415"/>
    <w:rsid w:val="005572B6"/>
    <w:rsid w:val="005667ED"/>
    <w:rsid w:val="00566EA4"/>
    <w:rsid w:val="00572898"/>
    <w:rsid w:val="00576098"/>
    <w:rsid w:val="00576360"/>
    <w:rsid w:val="00580651"/>
    <w:rsid w:val="00580B58"/>
    <w:rsid w:val="005817D4"/>
    <w:rsid w:val="00583E4D"/>
    <w:rsid w:val="005845CE"/>
    <w:rsid w:val="00584879"/>
    <w:rsid w:val="005A22F9"/>
    <w:rsid w:val="005A4156"/>
    <w:rsid w:val="005A4226"/>
    <w:rsid w:val="005A4786"/>
    <w:rsid w:val="005A5E8C"/>
    <w:rsid w:val="005B1602"/>
    <w:rsid w:val="005B27EE"/>
    <w:rsid w:val="005C1284"/>
    <w:rsid w:val="005C6B92"/>
    <w:rsid w:val="005C7B08"/>
    <w:rsid w:val="005D2AEB"/>
    <w:rsid w:val="005D4FB6"/>
    <w:rsid w:val="005E1FC9"/>
    <w:rsid w:val="005E64CE"/>
    <w:rsid w:val="005E6833"/>
    <w:rsid w:val="005F3147"/>
    <w:rsid w:val="005F3CF3"/>
    <w:rsid w:val="005F600E"/>
    <w:rsid w:val="005F6716"/>
    <w:rsid w:val="0060212C"/>
    <w:rsid w:val="00605FAF"/>
    <w:rsid w:val="00610BA2"/>
    <w:rsid w:val="006178E8"/>
    <w:rsid w:val="0062037F"/>
    <w:rsid w:val="00621664"/>
    <w:rsid w:val="00622344"/>
    <w:rsid w:val="00622A6A"/>
    <w:rsid w:val="00625DA7"/>
    <w:rsid w:val="0062758A"/>
    <w:rsid w:val="0063705A"/>
    <w:rsid w:val="00637CCF"/>
    <w:rsid w:val="006407EA"/>
    <w:rsid w:val="00646877"/>
    <w:rsid w:val="00647DAF"/>
    <w:rsid w:val="00650BA7"/>
    <w:rsid w:val="00650ECB"/>
    <w:rsid w:val="006521AF"/>
    <w:rsid w:val="00652A76"/>
    <w:rsid w:val="00656591"/>
    <w:rsid w:val="00662BCB"/>
    <w:rsid w:val="00665427"/>
    <w:rsid w:val="00667478"/>
    <w:rsid w:val="00670197"/>
    <w:rsid w:val="006710FB"/>
    <w:rsid w:val="006743B5"/>
    <w:rsid w:val="00677C95"/>
    <w:rsid w:val="00692158"/>
    <w:rsid w:val="00696B12"/>
    <w:rsid w:val="006A1522"/>
    <w:rsid w:val="006A217E"/>
    <w:rsid w:val="006A322F"/>
    <w:rsid w:val="006A5AFF"/>
    <w:rsid w:val="006A6E18"/>
    <w:rsid w:val="006A75EF"/>
    <w:rsid w:val="006B2128"/>
    <w:rsid w:val="006B340F"/>
    <w:rsid w:val="006B6159"/>
    <w:rsid w:val="006B7534"/>
    <w:rsid w:val="006C2B31"/>
    <w:rsid w:val="006C3121"/>
    <w:rsid w:val="006C3D7F"/>
    <w:rsid w:val="006C63FD"/>
    <w:rsid w:val="006D0026"/>
    <w:rsid w:val="006D3DEC"/>
    <w:rsid w:val="006D62F5"/>
    <w:rsid w:val="006D7C99"/>
    <w:rsid w:val="006E7716"/>
    <w:rsid w:val="006F0696"/>
    <w:rsid w:val="006F0E6C"/>
    <w:rsid w:val="006F5BC7"/>
    <w:rsid w:val="006F7547"/>
    <w:rsid w:val="00703067"/>
    <w:rsid w:val="007057C0"/>
    <w:rsid w:val="00705B8C"/>
    <w:rsid w:val="00711750"/>
    <w:rsid w:val="00711F7C"/>
    <w:rsid w:val="00712AA3"/>
    <w:rsid w:val="00713098"/>
    <w:rsid w:val="00715065"/>
    <w:rsid w:val="0072027E"/>
    <w:rsid w:val="00721DA3"/>
    <w:rsid w:val="007233E0"/>
    <w:rsid w:val="007239E8"/>
    <w:rsid w:val="00724808"/>
    <w:rsid w:val="00736F81"/>
    <w:rsid w:val="00745134"/>
    <w:rsid w:val="0074669A"/>
    <w:rsid w:val="00755CB7"/>
    <w:rsid w:val="00757A5A"/>
    <w:rsid w:val="00765F99"/>
    <w:rsid w:val="00780676"/>
    <w:rsid w:val="00781E8D"/>
    <w:rsid w:val="0078302D"/>
    <w:rsid w:val="00783666"/>
    <w:rsid w:val="00784F5E"/>
    <w:rsid w:val="00790B42"/>
    <w:rsid w:val="00796D96"/>
    <w:rsid w:val="007A5528"/>
    <w:rsid w:val="007A6F5C"/>
    <w:rsid w:val="007A7518"/>
    <w:rsid w:val="007B03F1"/>
    <w:rsid w:val="007B1100"/>
    <w:rsid w:val="007B4344"/>
    <w:rsid w:val="007C7530"/>
    <w:rsid w:val="007D21CE"/>
    <w:rsid w:val="007D6560"/>
    <w:rsid w:val="007E3F28"/>
    <w:rsid w:val="007E5CE9"/>
    <w:rsid w:val="007E6893"/>
    <w:rsid w:val="007F2052"/>
    <w:rsid w:val="00802375"/>
    <w:rsid w:val="00806F7E"/>
    <w:rsid w:val="0081439E"/>
    <w:rsid w:val="0082037E"/>
    <w:rsid w:val="008208EA"/>
    <w:rsid w:val="00823797"/>
    <w:rsid w:val="00825F5A"/>
    <w:rsid w:val="00832A9F"/>
    <w:rsid w:val="008351AF"/>
    <w:rsid w:val="00840985"/>
    <w:rsid w:val="00842FC4"/>
    <w:rsid w:val="008457D4"/>
    <w:rsid w:val="0085119B"/>
    <w:rsid w:val="00854F55"/>
    <w:rsid w:val="00867B9B"/>
    <w:rsid w:val="00872DF4"/>
    <w:rsid w:val="00876523"/>
    <w:rsid w:val="00876E96"/>
    <w:rsid w:val="008815FB"/>
    <w:rsid w:val="00883404"/>
    <w:rsid w:val="00896043"/>
    <w:rsid w:val="008A03DA"/>
    <w:rsid w:val="008A22DC"/>
    <w:rsid w:val="008A7FA6"/>
    <w:rsid w:val="008B02A8"/>
    <w:rsid w:val="008B1218"/>
    <w:rsid w:val="008B32B4"/>
    <w:rsid w:val="008B69EA"/>
    <w:rsid w:val="008B7624"/>
    <w:rsid w:val="008B7BFC"/>
    <w:rsid w:val="008C43D6"/>
    <w:rsid w:val="008D30AC"/>
    <w:rsid w:val="008D4C76"/>
    <w:rsid w:val="008D4E2A"/>
    <w:rsid w:val="008E2975"/>
    <w:rsid w:val="008E52F9"/>
    <w:rsid w:val="008E7A3F"/>
    <w:rsid w:val="008F00EA"/>
    <w:rsid w:val="008F3099"/>
    <w:rsid w:val="008F5D29"/>
    <w:rsid w:val="009043FA"/>
    <w:rsid w:val="009055EC"/>
    <w:rsid w:val="00906206"/>
    <w:rsid w:val="00907277"/>
    <w:rsid w:val="00907D74"/>
    <w:rsid w:val="00912B83"/>
    <w:rsid w:val="00924A56"/>
    <w:rsid w:val="00924E27"/>
    <w:rsid w:val="00926692"/>
    <w:rsid w:val="00940165"/>
    <w:rsid w:val="009413F5"/>
    <w:rsid w:val="00946B7D"/>
    <w:rsid w:val="00946C92"/>
    <w:rsid w:val="0095590A"/>
    <w:rsid w:val="0095591D"/>
    <w:rsid w:val="009631C4"/>
    <w:rsid w:val="00965345"/>
    <w:rsid w:val="00972D25"/>
    <w:rsid w:val="00973BB1"/>
    <w:rsid w:val="0097634A"/>
    <w:rsid w:val="009826A9"/>
    <w:rsid w:val="00984D9A"/>
    <w:rsid w:val="00993591"/>
    <w:rsid w:val="00994F65"/>
    <w:rsid w:val="009A2946"/>
    <w:rsid w:val="009A2CB4"/>
    <w:rsid w:val="009A4063"/>
    <w:rsid w:val="009A43BA"/>
    <w:rsid w:val="009A4597"/>
    <w:rsid w:val="009B07A3"/>
    <w:rsid w:val="009B3783"/>
    <w:rsid w:val="009C7D5B"/>
    <w:rsid w:val="009D607C"/>
    <w:rsid w:val="009D75E7"/>
    <w:rsid w:val="009E3999"/>
    <w:rsid w:val="009E5C24"/>
    <w:rsid w:val="009F27E3"/>
    <w:rsid w:val="00A01821"/>
    <w:rsid w:val="00A054BB"/>
    <w:rsid w:val="00A10DB1"/>
    <w:rsid w:val="00A13172"/>
    <w:rsid w:val="00A136C2"/>
    <w:rsid w:val="00A1433C"/>
    <w:rsid w:val="00A166E5"/>
    <w:rsid w:val="00A16B17"/>
    <w:rsid w:val="00A1799C"/>
    <w:rsid w:val="00A2062C"/>
    <w:rsid w:val="00A235AF"/>
    <w:rsid w:val="00A24C51"/>
    <w:rsid w:val="00A313F6"/>
    <w:rsid w:val="00A32634"/>
    <w:rsid w:val="00A338EE"/>
    <w:rsid w:val="00A34060"/>
    <w:rsid w:val="00A34B66"/>
    <w:rsid w:val="00A36BFB"/>
    <w:rsid w:val="00A42811"/>
    <w:rsid w:val="00A52E50"/>
    <w:rsid w:val="00A549FB"/>
    <w:rsid w:val="00A55A78"/>
    <w:rsid w:val="00A56C98"/>
    <w:rsid w:val="00A664A0"/>
    <w:rsid w:val="00A66AC0"/>
    <w:rsid w:val="00A74FA7"/>
    <w:rsid w:val="00A8215A"/>
    <w:rsid w:val="00A85D23"/>
    <w:rsid w:val="00A87D96"/>
    <w:rsid w:val="00A90DCC"/>
    <w:rsid w:val="00AA1816"/>
    <w:rsid w:val="00AB5EAD"/>
    <w:rsid w:val="00AB7070"/>
    <w:rsid w:val="00AC167E"/>
    <w:rsid w:val="00AC1E52"/>
    <w:rsid w:val="00AC37DC"/>
    <w:rsid w:val="00AD2978"/>
    <w:rsid w:val="00AE015E"/>
    <w:rsid w:val="00AE4530"/>
    <w:rsid w:val="00AE726D"/>
    <w:rsid w:val="00AF08D4"/>
    <w:rsid w:val="00AF10AF"/>
    <w:rsid w:val="00AF6C38"/>
    <w:rsid w:val="00B01177"/>
    <w:rsid w:val="00B01C18"/>
    <w:rsid w:val="00B01E9D"/>
    <w:rsid w:val="00B13C13"/>
    <w:rsid w:val="00B1523E"/>
    <w:rsid w:val="00B25D0A"/>
    <w:rsid w:val="00B26B90"/>
    <w:rsid w:val="00B26BD5"/>
    <w:rsid w:val="00B276D8"/>
    <w:rsid w:val="00B31AB8"/>
    <w:rsid w:val="00B32428"/>
    <w:rsid w:val="00B47D2D"/>
    <w:rsid w:val="00B618C3"/>
    <w:rsid w:val="00B646B0"/>
    <w:rsid w:val="00B64FDB"/>
    <w:rsid w:val="00B65805"/>
    <w:rsid w:val="00B714B5"/>
    <w:rsid w:val="00B76F3F"/>
    <w:rsid w:val="00B83923"/>
    <w:rsid w:val="00B90C8C"/>
    <w:rsid w:val="00B92790"/>
    <w:rsid w:val="00BA10AF"/>
    <w:rsid w:val="00BA1B07"/>
    <w:rsid w:val="00BA2CDF"/>
    <w:rsid w:val="00BA2EF2"/>
    <w:rsid w:val="00BB18B2"/>
    <w:rsid w:val="00BB5D6A"/>
    <w:rsid w:val="00BB7B31"/>
    <w:rsid w:val="00BC4A06"/>
    <w:rsid w:val="00BD00B4"/>
    <w:rsid w:val="00BD30B6"/>
    <w:rsid w:val="00BD4D5F"/>
    <w:rsid w:val="00BD594A"/>
    <w:rsid w:val="00BD70B0"/>
    <w:rsid w:val="00BE51CB"/>
    <w:rsid w:val="00BE5D3D"/>
    <w:rsid w:val="00BF01DF"/>
    <w:rsid w:val="00BF1BA8"/>
    <w:rsid w:val="00BF2EEC"/>
    <w:rsid w:val="00BF3676"/>
    <w:rsid w:val="00BF479B"/>
    <w:rsid w:val="00C0040E"/>
    <w:rsid w:val="00C03868"/>
    <w:rsid w:val="00C06FAA"/>
    <w:rsid w:val="00C15FAC"/>
    <w:rsid w:val="00C21562"/>
    <w:rsid w:val="00C26CE5"/>
    <w:rsid w:val="00C26E6E"/>
    <w:rsid w:val="00C33019"/>
    <w:rsid w:val="00C34504"/>
    <w:rsid w:val="00C44A7C"/>
    <w:rsid w:val="00C528E8"/>
    <w:rsid w:val="00C57CFB"/>
    <w:rsid w:val="00C71ADE"/>
    <w:rsid w:val="00C80472"/>
    <w:rsid w:val="00C82DF9"/>
    <w:rsid w:val="00C840F4"/>
    <w:rsid w:val="00C861D2"/>
    <w:rsid w:val="00C9409E"/>
    <w:rsid w:val="00C944EA"/>
    <w:rsid w:val="00CA0249"/>
    <w:rsid w:val="00CA2F03"/>
    <w:rsid w:val="00CA5B6A"/>
    <w:rsid w:val="00CB08B0"/>
    <w:rsid w:val="00CB1E9A"/>
    <w:rsid w:val="00CB295F"/>
    <w:rsid w:val="00CB40EB"/>
    <w:rsid w:val="00CB65AD"/>
    <w:rsid w:val="00CC0D0F"/>
    <w:rsid w:val="00CC36D4"/>
    <w:rsid w:val="00CC38EB"/>
    <w:rsid w:val="00CC3EA5"/>
    <w:rsid w:val="00CC66FB"/>
    <w:rsid w:val="00CC6904"/>
    <w:rsid w:val="00CD2C94"/>
    <w:rsid w:val="00CD636B"/>
    <w:rsid w:val="00CD6D36"/>
    <w:rsid w:val="00CE01BE"/>
    <w:rsid w:val="00CE5126"/>
    <w:rsid w:val="00CE7F1B"/>
    <w:rsid w:val="00CF2723"/>
    <w:rsid w:val="00CF63EE"/>
    <w:rsid w:val="00CF641D"/>
    <w:rsid w:val="00CF6887"/>
    <w:rsid w:val="00CF68D3"/>
    <w:rsid w:val="00CF6AA1"/>
    <w:rsid w:val="00CF6AAD"/>
    <w:rsid w:val="00D0054F"/>
    <w:rsid w:val="00D03BC3"/>
    <w:rsid w:val="00D055F7"/>
    <w:rsid w:val="00D06B77"/>
    <w:rsid w:val="00D07EF5"/>
    <w:rsid w:val="00D1124E"/>
    <w:rsid w:val="00D147DF"/>
    <w:rsid w:val="00D17832"/>
    <w:rsid w:val="00D21755"/>
    <w:rsid w:val="00D223A4"/>
    <w:rsid w:val="00D3372D"/>
    <w:rsid w:val="00D45157"/>
    <w:rsid w:val="00D46430"/>
    <w:rsid w:val="00D50FB3"/>
    <w:rsid w:val="00D558E4"/>
    <w:rsid w:val="00D62957"/>
    <w:rsid w:val="00D639D1"/>
    <w:rsid w:val="00D6453F"/>
    <w:rsid w:val="00D729F1"/>
    <w:rsid w:val="00D75EEB"/>
    <w:rsid w:val="00D772A3"/>
    <w:rsid w:val="00D831B4"/>
    <w:rsid w:val="00DA1313"/>
    <w:rsid w:val="00DA24D3"/>
    <w:rsid w:val="00DA3F89"/>
    <w:rsid w:val="00DA6243"/>
    <w:rsid w:val="00DA675A"/>
    <w:rsid w:val="00DB0B3C"/>
    <w:rsid w:val="00DB22FE"/>
    <w:rsid w:val="00DB2ACE"/>
    <w:rsid w:val="00DB4300"/>
    <w:rsid w:val="00DB4979"/>
    <w:rsid w:val="00DB7676"/>
    <w:rsid w:val="00DC047C"/>
    <w:rsid w:val="00DC7F26"/>
    <w:rsid w:val="00DD5C23"/>
    <w:rsid w:val="00DE273E"/>
    <w:rsid w:val="00DF0185"/>
    <w:rsid w:val="00DF3844"/>
    <w:rsid w:val="00DF5743"/>
    <w:rsid w:val="00E0092B"/>
    <w:rsid w:val="00E03806"/>
    <w:rsid w:val="00E041A5"/>
    <w:rsid w:val="00E111CD"/>
    <w:rsid w:val="00E13C0A"/>
    <w:rsid w:val="00E16743"/>
    <w:rsid w:val="00E24109"/>
    <w:rsid w:val="00E247DE"/>
    <w:rsid w:val="00E25474"/>
    <w:rsid w:val="00E27F75"/>
    <w:rsid w:val="00E32E77"/>
    <w:rsid w:val="00E34295"/>
    <w:rsid w:val="00E356E9"/>
    <w:rsid w:val="00E4048E"/>
    <w:rsid w:val="00E423CB"/>
    <w:rsid w:val="00E427D0"/>
    <w:rsid w:val="00E61878"/>
    <w:rsid w:val="00E638DD"/>
    <w:rsid w:val="00E64872"/>
    <w:rsid w:val="00E72DB1"/>
    <w:rsid w:val="00E731D5"/>
    <w:rsid w:val="00E73655"/>
    <w:rsid w:val="00E80656"/>
    <w:rsid w:val="00E81688"/>
    <w:rsid w:val="00E82D82"/>
    <w:rsid w:val="00E8648A"/>
    <w:rsid w:val="00E87FBD"/>
    <w:rsid w:val="00E93DD7"/>
    <w:rsid w:val="00E951A2"/>
    <w:rsid w:val="00E967A9"/>
    <w:rsid w:val="00E97D3E"/>
    <w:rsid w:val="00EA0F3A"/>
    <w:rsid w:val="00EA422E"/>
    <w:rsid w:val="00EA472A"/>
    <w:rsid w:val="00EC3B85"/>
    <w:rsid w:val="00ED5445"/>
    <w:rsid w:val="00ED7ABB"/>
    <w:rsid w:val="00EE06B5"/>
    <w:rsid w:val="00EE1B3E"/>
    <w:rsid w:val="00EF317F"/>
    <w:rsid w:val="00EF79FA"/>
    <w:rsid w:val="00F029FB"/>
    <w:rsid w:val="00F0464A"/>
    <w:rsid w:val="00F04B55"/>
    <w:rsid w:val="00F053EE"/>
    <w:rsid w:val="00F115AA"/>
    <w:rsid w:val="00F13F01"/>
    <w:rsid w:val="00F15E44"/>
    <w:rsid w:val="00F160F3"/>
    <w:rsid w:val="00F16B13"/>
    <w:rsid w:val="00F202D6"/>
    <w:rsid w:val="00F241BD"/>
    <w:rsid w:val="00F30FB7"/>
    <w:rsid w:val="00F33C31"/>
    <w:rsid w:val="00F33C93"/>
    <w:rsid w:val="00F36AD0"/>
    <w:rsid w:val="00F41768"/>
    <w:rsid w:val="00F4301B"/>
    <w:rsid w:val="00F45801"/>
    <w:rsid w:val="00F52361"/>
    <w:rsid w:val="00F52415"/>
    <w:rsid w:val="00F64D79"/>
    <w:rsid w:val="00F73D48"/>
    <w:rsid w:val="00F7400B"/>
    <w:rsid w:val="00F80B55"/>
    <w:rsid w:val="00F828EC"/>
    <w:rsid w:val="00F8673B"/>
    <w:rsid w:val="00F90493"/>
    <w:rsid w:val="00F90CF9"/>
    <w:rsid w:val="00F92A45"/>
    <w:rsid w:val="00F9490E"/>
    <w:rsid w:val="00F9664E"/>
    <w:rsid w:val="00F96A32"/>
    <w:rsid w:val="00FA02A9"/>
    <w:rsid w:val="00FA36E1"/>
    <w:rsid w:val="00FB041A"/>
    <w:rsid w:val="00FB2581"/>
    <w:rsid w:val="00FB329C"/>
    <w:rsid w:val="00FB6525"/>
    <w:rsid w:val="00FC14FB"/>
    <w:rsid w:val="00FC27CD"/>
    <w:rsid w:val="00FD1B8B"/>
    <w:rsid w:val="00FD2A3A"/>
    <w:rsid w:val="00FD62AB"/>
    <w:rsid w:val="00FD6C98"/>
    <w:rsid w:val="00FD7A6E"/>
    <w:rsid w:val="00FF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36BF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uiPriority w:val="99"/>
    <w:rsid w:val="001879ED"/>
    <w:pPr>
      <w:tabs>
        <w:tab w:val="center" w:pos="4677"/>
        <w:tab w:val="right" w:pos="9355"/>
      </w:tabs>
    </w:pPr>
  </w:style>
  <w:style w:type="character" w:customStyle="1" w:styleId="a6">
    <w:name w:val="Верхний колонтитул Знак"/>
    <w:basedOn w:val="a0"/>
    <w:link w:val="a5"/>
    <w:uiPriority w:val="99"/>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e-comment-author">
    <w:name w:val="fe-comment-author"/>
    <w:basedOn w:val="a0"/>
    <w:rsid w:val="00287926"/>
  </w:style>
  <w:style w:type="character" w:customStyle="1" w:styleId="oznaimen">
    <w:name w:val="oz_naimen"/>
    <w:rsid w:val="003C7748"/>
  </w:style>
  <w:style w:type="character" w:customStyle="1" w:styleId="40">
    <w:name w:val="Заголовок 4 Знак"/>
    <w:basedOn w:val="a0"/>
    <w:link w:val="4"/>
    <w:rsid w:val="00A36BFB"/>
    <w:rPr>
      <w:rFonts w:ascii="Times New Roman" w:eastAsia="Times New Roman" w:hAnsi="Times New Roman" w:cs="Times New Roman"/>
      <w:b/>
      <w:sz w:val="28"/>
      <w:szCs w:val="20"/>
      <w:lang w:eastAsia="ru-RU"/>
    </w:rPr>
  </w:style>
  <w:style w:type="character" w:styleId="af4">
    <w:name w:val="Strong"/>
    <w:basedOn w:val="a0"/>
    <w:uiPriority w:val="22"/>
    <w:qFormat/>
    <w:rsid w:val="00867B9B"/>
    <w:rPr>
      <w:b/>
      <w:bCs/>
    </w:rPr>
  </w:style>
  <w:style w:type="paragraph" w:customStyle="1" w:styleId="ConsNonformat13">
    <w:name w:val="Стиль ConsNonformat + 13 пт"/>
    <w:basedOn w:val="a"/>
    <w:rsid w:val="006743B5"/>
    <w:pPr>
      <w:widowControl w:val="0"/>
      <w:autoSpaceDE w:val="0"/>
      <w:autoSpaceDN w:val="0"/>
      <w:adjustRightInd w:val="0"/>
    </w:pPr>
    <w:rPr>
      <w:sz w:val="26"/>
      <w:szCs w:val="26"/>
    </w:rPr>
  </w:style>
  <w:style w:type="character" w:customStyle="1" w:styleId="fe-comment-title">
    <w:name w:val="fe-comment-title"/>
    <w:basedOn w:val="a0"/>
    <w:rsid w:val="00023339"/>
  </w:style>
  <w:style w:type="character" w:customStyle="1" w:styleId="FontStyle25">
    <w:name w:val="Font Style25"/>
    <w:basedOn w:val="a0"/>
    <w:rsid w:val="003C4310"/>
    <w:rPr>
      <w:rFonts w:ascii="Times New Roman" w:hAnsi="Times New Roman" w:cs="Times New Roman"/>
      <w:sz w:val="26"/>
      <w:szCs w:val="26"/>
    </w:rPr>
  </w:style>
  <w:style w:type="character" w:customStyle="1" w:styleId="s1">
    <w:name w:val="s1"/>
    <w:basedOn w:val="a0"/>
    <w:rsid w:val="003C4310"/>
  </w:style>
  <w:style w:type="paragraph" w:customStyle="1" w:styleId="af5">
    <w:name w:val="Мой стиль"/>
    <w:basedOn w:val="a"/>
    <w:rsid w:val="00424D80"/>
    <w:pPr>
      <w:ind w:firstLine="709"/>
      <w:jc w:val="both"/>
    </w:pPr>
    <w:rPr>
      <w:sz w:val="28"/>
      <w:szCs w:val="20"/>
    </w:rPr>
  </w:style>
  <w:style w:type="character" w:customStyle="1" w:styleId="s111">
    <w:name w:val="s111"/>
    <w:basedOn w:val="a0"/>
    <w:rsid w:val="003610B8"/>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65057863">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38C1C-DE7D-463A-BAB2-32B2D25B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26</Pages>
  <Words>6287</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128</cp:revision>
  <dcterms:created xsi:type="dcterms:W3CDTF">2021-02-09T08:58:00Z</dcterms:created>
  <dcterms:modified xsi:type="dcterms:W3CDTF">2024-03-19T14:18:00Z</dcterms:modified>
</cp:coreProperties>
</file>