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9F0DA9">
        <w:rPr>
          <w:b/>
          <w:iCs/>
          <w:sz w:val="24"/>
        </w:rPr>
        <w:t>4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9F0DA9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9F0DA9">
        <w:rPr>
          <w:b/>
          <w:sz w:val="24"/>
          <w:szCs w:val="24"/>
        </w:rPr>
        <w:t>апреля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FB329C">
        <w:rPr>
          <w:b/>
          <w:sz w:val="24"/>
          <w:szCs w:val="24"/>
        </w:rPr>
        <w:t>0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4961"/>
        <w:gridCol w:w="1843"/>
        <w:gridCol w:w="3544"/>
      </w:tblGrid>
      <w:tr w:rsidR="001879ED" w:rsidTr="00AE4530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AE4530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AE4530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60F71" w:rsidRPr="00E067F6" w:rsidRDefault="00460F71" w:rsidP="00460F71">
            <w:pPr>
              <w:pStyle w:val="ac"/>
              <w:ind w:left="34" w:firstLine="142"/>
              <w:jc w:val="both"/>
              <w:rPr>
                <w:bCs/>
              </w:rPr>
            </w:pPr>
            <w:r>
              <w:rPr>
                <w:bCs/>
              </w:rPr>
              <w:t>Рассмотрение п</w:t>
            </w:r>
            <w:r w:rsidRPr="00FB4987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FB4987">
              <w:rPr>
                <w:bCs/>
              </w:rPr>
              <w:t xml:space="preserve"> областного закона</w:t>
            </w:r>
            <w:r>
              <w:rPr>
                <w:bCs/>
              </w:rPr>
              <w:t xml:space="preserve"> </w:t>
            </w:r>
            <w:r w:rsidRPr="00FB4987">
              <w:t xml:space="preserve">№ </w:t>
            </w:r>
            <w:r w:rsidRPr="00A5745B">
              <w:rPr>
                <w:b/>
              </w:rPr>
              <w:t>пз8</w:t>
            </w:r>
            <w:r w:rsidRPr="0034791A">
              <w:rPr>
                <w:b/>
              </w:rPr>
              <w:t>/79</w:t>
            </w:r>
            <w:r>
              <w:t xml:space="preserve">                     </w:t>
            </w:r>
            <w:r w:rsidRPr="00FB4987">
              <w:rPr>
                <w:bCs/>
              </w:rPr>
              <w:t xml:space="preserve">«О внесении изменений в областной закон </w:t>
            </w:r>
            <w:r>
              <w:rPr>
                <w:bCs/>
              </w:rPr>
              <w:t xml:space="preserve">                 </w:t>
            </w:r>
            <w:r w:rsidRPr="00FB4987">
              <w:rPr>
                <w:bCs/>
              </w:rPr>
              <w:t>«Об областном бюджете на 2024 год и на плановый период 2025</w:t>
            </w:r>
            <w:r>
              <w:rPr>
                <w:bCs/>
              </w:rPr>
              <w:t xml:space="preserve"> </w:t>
            </w:r>
            <w:r w:rsidRPr="00FB4987">
              <w:rPr>
                <w:bCs/>
              </w:rPr>
              <w:t xml:space="preserve">и 2026 годов» </w:t>
            </w:r>
            <w:r w:rsidRPr="00FB4987">
              <w:rPr>
                <w:b/>
                <w:bCs/>
              </w:rPr>
              <w:t>(первое и второе чтение)</w:t>
            </w:r>
            <w:r>
              <w:rPr>
                <w:b/>
                <w:bCs/>
              </w:rPr>
              <w:t xml:space="preserve">. </w:t>
            </w:r>
            <w:r w:rsidRPr="00E067F6">
              <w:rPr>
                <w:bCs/>
              </w:rPr>
              <w:t>Рассмотрение сводной таблицы поправок.</w:t>
            </w:r>
          </w:p>
          <w:p w:rsidR="00765F99" w:rsidRPr="005366CD" w:rsidRDefault="00765F99" w:rsidP="00460F71">
            <w:pPr>
              <w:pStyle w:val="ac"/>
              <w:ind w:left="34" w:firstLine="326"/>
              <w:jc w:val="both"/>
            </w:pPr>
          </w:p>
        </w:tc>
        <w:tc>
          <w:tcPr>
            <w:tcW w:w="1701" w:type="dxa"/>
          </w:tcPr>
          <w:p w:rsidR="00757A5A" w:rsidRDefault="00FB329C" w:rsidP="00413FD7">
            <w:pPr>
              <w:shd w:val="clear" w:color="auto" w:fill="FFFFFF"/>
              <w:spacing w:line="253" w:lineRule="atLeast"/>
            </w:pPr>
            <w:proofErr w:type="spellStart"/>
            <w:proofErr w:type="gramStart"/>
            <w:r>
              <w:t>Правительс-тво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Архангель</w:t>
            </w:r>
            <w:r w:rsidR="001222CD">
              <w:t>-</w:t>
            </w:r>
            <w:r>
              <w:t>ской</w:t>
            </w:r>
            <w:proofErr w:type="spellEnd"/>
            <w:r>
              <w:t xml:space="preserve"> области</w:t>
            </w:r>
            <w:r w:rsidR="00413FD7">
              <w:t>/</w:t>
            </w:r>
          </w:p>
          <w:p w:rsidR="00413FD7" w:rsidRDefault="001222CD" w:rsidP="00413FD7">
            <w:pPr>
              <w:shd w:val="clear" w:color="auto" w:fill="FFFFFF"/>
              <w:spacing w:line="253" w:lineRule="atLeast"/>
            </w:pPr>
            <w:r>
              <w:t xml:space="preserve">Усачева Е.Ю., </w:t>
            </w:r>
          </w:p>
          <w:p w:rsidR="001222CD" w:rsidRPr="003C0AB3" w:rsidRDefault="001222CD" w:rsidP="00413FD7">
            <w:pPr>
              <w:shd w:val="clear" w:color="auto" w:fill="FFFFFF"/>
              <w:spacing w:line="253" w:lineRule="atLeast"/>
            </w:pPr>
            <w:r>
              <w:t>Дементьев А.А.</w:t>
            </w:r>
          </w:p>
        </w:tc>
        <w:tc>
          <w:tcPr>
            <w:tcW w:w="4961" w:type="dxa"/>
          </w:tcPr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В вышеуказанном проекте областного закона предлагается                             внести изменения в основные характеристики областного бюджета на 2024 год: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- уменьшить доходную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                                  - 1 011,7 млн. рублей за счет: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proofErr w:type="gramStart"/>
            <w:r>
              <w:t>уменьшения дотации из федерального бюджета на выравнивание бюджетной обеспеченности в сумме -776,8 млн. рублей;</w:t>
            </w:r>
            <w:proofErr w:type="gramEnd"/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уменьшения дотации из федерального бюджета на частичную компенсацию дополнительных расходов на повышение оплаты труда работников бюджетной сферы в сумме - 241,1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увеличения субсидии из федерального бюджета в целях достижения результатов национального проекта «Производительность труда» в сумме               +4,2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возврата в областной бюджет неиспользованных остатков средств субсидий прошлых лет учреждением, подведомственным министерству образования Архангельской области в сумме + 2,0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ab/>
              <w:t xml:space="preserve">- уменьшить расходную часть </w:t>
            </w:r>
            <w:proofErr w:type="gramStart"/>
            <w:r>
              <w:lastRenderedPageBreak/>
              <w:t>областного</w:t>
            </w:r>
            <w:proofErr w:type="gramEnd"/>
            <w:r>
              <w:t xml:space="preserve"> бюджета в целом  на  сумму             -1 011,7 млн. рублей за счет: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proofErr w:type="gramStart"/>
            <w:r>
              <w:t xml:space="preserve">сокращения расходов областного бюджета в связи с уменьшением дотаций </w:t>
            </w:r>
            <w:r w:rsidR="00245CD2">
              <w:t xml:space="preserve">                                </w:t>
            </w:r>
            <w:r>
              <w:t xml:space="preserve">из федерального бюджета в общей сумме </w:t>
            </w:r>
            <w:r w:rsidR="00245CD2">
              <w:t xml:space="preserve">                      </w:t>
            </w:r>
            <w:r>
              <w:t>-1 017,9 млн. рублей, в том числе:</w:t>
            </w:r>
            <w:proofErr w:type="gramEnd"/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1)</w:t>
            </w:r>
            <w:r>
              <w:tab/>
              <w:t xml:space="preserve">по министерству строительства </w:t>
            </w:r>
            <w:r w:rsidR="00245CD2">
              <w:t xml:space="preserve">                            </w:t>
            </w:r>
            <w:r>
              <w:t xml:space="preserve">и архитектуры Архангельской области на сумму -101,5 млн. рублей; 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2)</w:t>
            </w:r>
            <w:r>
              <w:tab/>
              <w:t>по министерству топливно-энергетического комплекса и жилищно-коммунального хозяйства Архангельской области на сумму  -107,6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3)</w:t>
            </w:r>
            <w:r>
              <w:tab/>
              <w:t>по министерству природных ресурсов и лесопромышленного комплекса Архангельской области на сумму -156,4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4)</w:t>
            </w:r>
            <w:r>
              <w:tab/>
              <w:t>по министерству здравоохранения Архангельской области на сумму  -200,9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5)</w:t>
            </w:r>
            <w:r>
              <w:tab/>
              <w:t>по министерству культуры Архангельской области на сумму                        -49,8 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6)</w:t>
            </w:r>
            <w:r>
              <w:tab/>
              <w:t>по министерству образования Архангельской области на сумму -169,5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7)</w:t>
            </w:r>
            <w:r>
              <w:tab/>
              <w:t xml:space="preserve">по министерству транспорта Архангельской области на сумму </w:t>
            </w:r>
            <w:r w:rsidR="00245CD2">
              <w:t xml:space="preserve">                                       </w:t>
            </w:r>
            <w:r>
              <w:t>-8,0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8)</w:t>
            </w:r>
            <w:r>
              <w:tab/>
              <w:t xml:space="preserve">по министерству экономического развития, промышленности и науки Архангельской области на сумму </w:t>
            </w:r>
            <w:r w:rsidR="00245CD2">
              <w:t xml:space="preserve">                                      </w:t>
            </w:r>
            <w:r>
              <w:t>-51,0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9)</w:t>
            </w:r>
            <w:r>
              <w:tab/>
              <w:t>по министерству труда, занятости и социального развития Архангельской области на сумму -139,7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lastRenderedPageBreak/>
              <w:t>10)</w:t>
            </w:r>
            <w:r>
              <w:tab/>
              <w:t xml:space="preserve">по агентству по делам молодежи Архангельской области на сумму </w:t>
            </w:r>
            <w:r w:rsidR="00245CD2">
              <w:t xml:space="preserve">                                             </w:t>
            </w:r>
            <w:r>
              <w:t>-11,6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11)</w:t>
            </w:r>
            <w:r>
              <w:tab/>
              <w:t>по министерству спорта Архангельской области на сумму                     -21,9 млн. рублей;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proofErr w:type="gramStart"/>
            <w:r>
              <w:t>увеличения субсидии из федерального бюджета в сумме +4,2 млн. рублей министерству экономического развития, промышленности и науки Архангельской области для АНО Архангельской области «Агентство регионального развития» в целях создания и обеспечения деятельности регионального центра компетенций в сфере производительности труда, включая создание и обеспечение деятельности учебной производственной площадки «Фабрика процессов»;</w:t>
            </w:r>
            <w:proofErr w:type="gramEnd"/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возврата неиспользованных остатков средств субсидий прошлых лет в сумме </w:t>
            </w:r>
            <w:r w:rsidR="00CC5B2F">
              <w:t xml:space="preserve">                      </w:t>
            </w:r>
            <w:r>
              <w:t>+2,0 млн. рублей министерству образования Архангельской области</w:t>
            </w:r>
            <w:r w:rsidR="00CC5B2F">
              <w:t xml:space="preserve"> </w:t>
            </w:r>
            <w:r>
              <w:t>на предоставление единовременных выплат молодым специалистам в связи</w:t>
            </w:r>
            <w:r w:rsidR="00CC5B2F">
              <w:t xml:space="preserve"> </w:t>
            </w:r>
            <w:r>
              <w:t xml:space="preserve">с поступлением </w:t>
            </w:r>
            <w:r w:rsidR="00CC5B2F">
              <w:t xml:space="preserve">                         </w:t>
            </w:r>
            <w:r>
              <w:t>на работу в образовательные организации.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ab/>
              <w:t xml:space="preserve">Также в 2024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</w:t>
            </w:r>
            <w:r w:rsidR="00CC5B2F">
              <w:t xml:space="preserve">                        </w:t>
            </w:r>
            <w:r>
              <w:t xml:space="preserve">286,4 млн. рублей.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В результате данных изменений доходы областного бюджета</w:t>
            </w:r>
            <w:r w:rsidR="00CC5B2F">
              <w:t xml:space="preserve"> </w:t>
            </w:r>
            <w:r>
              <w:t xml:space="preserve">на 2024 год в целом составят 128 188,8 млн. рублей </w:t>
            </w:r>
            <w:r w:rsidR="00CC5B2F">
              <w:t xml:space="preserve">                                  </w:t>
            </w:r>
            <w:r>
              <w:t xml:space="preserve">(с уменьшением на -1 011,7 млн. рублей), расходы областного бюджета составят                                       </w:t>
            </w:r>
            <w:r>
              <w:lastRenderedPageBreak/>
              <w:t xml:space="preserve">143 823,7 млн. рублей (с уменьшением </w:t>
            </w:r>
            <w:r w:rsidR="00CC5B2F">
              <w:t xml:space="preserve">                     </w:t>
            </w:r>
            <w:r>
              <w:t xml:space="preserve">на -1 011,7 млн. рублей).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2024 год </w:t>
            </w:r>
            <w:r w:rsidR="00CC5B2F">
              <w:t xml:space="preserve">                              </w:t>
            </w:r>
            <w:r>
              <w:t xml:space="preserve">не изменится и составит -15 634,8 млн. рублей или -16,9 % к собственным налоговым и неналоговым доходам областного бюджета.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Проектом областного закона предлагается внести изменения</w:t>
            </w:r>
            <w:r w:rsidR="00CC5B2F">
              <w:t xml:space="preserve"> </w:t>
            </w:r>
            <w:r>
              <w:t xml:space="preserve">в основные характеристики на 2025 год: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- уменьшить доходную часть областного бюджета на сумму -53,4 млн. рублей </w:t>
            </w:r>
            <w:r w:rsidR="00D94E7C">
              <w:t xml:space="preserve">                            </w:t>
            </w:r>
            <w:r>
              <w:t xml:space="preserve">за счет субсидии из федерального бюджета на реализацию </w:t>
            </w:r>
            <w:proofErr w:type="gramStart"/>
            <w: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t>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- уменьшить расходную часть областного бюджета на сумму -53,4 млн. рублей </w:t>
            </w:r>
            <w:r w:rsidR="00D94E7C">
              <w:t xml:space="preserve">                         </w:t>
            </w:r>
            <w:r>
              <w:t>по министерству</w:t>
            </w:r>
            <w:r w:rsidR="00D94E7C">
              <w:t xml:space="preserve"> </w:t>
            </w:r>
            <w:r>
              <w:t>здравоохранения Архангельской области на поставку, монтаж и оснащение зданий фельдшерско-акушерских пунктов</w:t>
            </w:r>
            <w:r w:rsidR="00D94E7C">
              <w:t xml:space="preserve"> </w:t>
            </w:r>
            <w:r>
              <w:t>и врачебных амбулаторий, в том числе благоустройство прилегающих территорий.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ab/>
              <w:t xml:space="preserve">Также в 2025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95,1 млн. рублей.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В результате данных изменений доходы областного бюджета на 2025 год в целом составят 124 705,3 млн. рублей </w:t>
            </w:r>
            <w:r w:rsidR="00D94E7C">
              <w:t xml:space="preserve">                                 </w:t>
            </w:r>
            <w:r>
              <w:lastRenderedPageBreak/>
              <w:t xml:space="preserve">(с уменьшением на -53,4 млн. рублей), расходы областного бюджета составят                                       137 738,3 млн. рублей (с уменьшением </w:t>
            </w:r>
            <w:r w:rsidR="00D94E7C">
              <w:t xml:space="preserve">                         </w:t>
            </w:r>
            <w:r>
              <w:t xml:space="preserve">на -53,4 млн. рублей).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2025 год не изменится и составит -13 033,1 млн. рублей или -13,6 % </w:t>
            </w:r>
            <w:r w:rsidR="00D94E7C">
              <w:t xml:space="preserve">                               </w:t>
            </w:r>
            <w:r>
              <w:t xml:space="preserve">к собственным налоговым и неналоговым доходам областного бюджета.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Проектом областного закона предлагается внести изменения в основные характеристики на 2026 год: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- уменьшить доходную часть областного бюджета на сумму  -357,3 млн. рублей за счет субсидии из федерального бюджета </w:t>
            </w:r>
            <w:r w:rsidR="00622AA5">
              <w:t xml:space="preserve">                             </w:t>
            </w:r>
            <w:r>
              <w:t xml:space="preserve">на реализацию </w:t>
            </w:r>
            <w:proofErr w:type="gramStart"/>
            <w: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t>;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ab/>
              <w:t xml:space="preserve">- уменьшить расходную часть областного бюджета на общую сумму                          -357,3 млн. рублей, в том числе: </w:t>
            </w:r>
            <w:r w:rsidR="00622AA5">
              <w:t xml:space="preserve">                                </w:t>
            </w:r>
            <w:r>
              <w:t>по министерству</w:t>
            </w:r>
            <w:r w:rsidR="00622AA5">
              <w:t xml:space="preserve"> </w:t>
            </w:r>
            <w:r>
              <w:t xml:space="preserve">здравоохранения Архангельской области на поставку, монтаж и оснащение зданий фельдшерско-акушерских пунктов и врачебных амбулаторий, в том числе благоустройство прилегающих территорий в сумме </w:t>
            </w:r>
            <w:r w:rsidR="00622AA5">
              <w:t xml:space="preserve">                            </w:t>
            </w:r>
            <w:r>
              <w:t xml:space="preserve">-77,4 млн. рублей; </w:t>
            </w:r>
            <w:proofErr w:type="gramStart"/>
            <w:r>
              <w:t xml:space="preserve">по министерству образования Архангельской области на капитальный ремонт в образовательных организациях, в том числе благоустройство прилегающих территорий, а также приобретение и монтаж оборудования </w:t>
            </w:r>
            <w:r w:rsidR="00622AA5">
              <w:t xml:space="preserve">                         </w:t>
            </w:r>
            <w:r>
              <w:t xml:space="preserve">в сумме -109,3 млн. рублей; по министерству </w:t>
            </w:r>
            <w:r>
              <w:lastRenderedPageBreak/>
              <w:t xml:space="preserve">культуры Архангельской области </w:t>
            </w:r>
            <w:r w:rsidR="00622AA5">
              <w:t xml:space="preserve">                                 </w:t>
            </w:r>
            <w:r>
              <w:t xml:space="preserve">на капитальный  ремонт в организациях культуры, в том числе благоустройство прилегающих территорий, а также приобретение и монтаж оборудования </w:t>
            </w:r>
            <w:r w:rsidR="00622AA5">
              <w:t xml:space="preserve">                        </w:t>
            </w:r>
            <w:r>
              <w:t>в сумме -170,6 млн. рублей.</w:t>
            </w:r>
            <w:proofErr w:type="gramEnd"/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Также в 2026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56,3 млн. рублей.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В результате данных изменений доходы областного бюджета на 2026 год в целом составят 129 075,2 млн. рублей </w:t>
            </w:r>
            <w:r w:rsidR="00A75DA2">
              <w:t xml:space="preserve">                                </w:t>
            </w:r>
            <w:r>
              <w:t xml:space="preserve">(с уменьшением на -357,3 млн. рублей), расходы областного бюджета составят                                       135 525,7 млн. рублей (с уменьшением </w:t>
            </w:r>
            <w:r w:rsidR="00A75DA2">
              <w:t xml:space="preserve">                                   </w:t>
            </w:r>
            <w:r>
              <w:t xml:space="preserve">на -357,3 млн. рублей).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2025 год не изменится и составит -6 450,4 млн. рублей или -6,4 % </w:t>
            </w:r>
            <w:r w:rsidR="00A75DA2">
              <w:t xml:space="preserve">                                    </w:t>
            </w:r>
            <w:r>
              <w:t xml:space="preserve">к собственным налоговым и неналоговым доходам областного бюджета. 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Законопроектом предлагается уменьшить объем публичных нормативных обязательств на 2024 год на сумму -105,7  млн. рублей, </w:t>
            </w:r>
            <w:r w:rsidR="00A75DA2">
              <w:t xml:space="preserve">                    </w:t>
            </w:r>
            <w:r>
              <w:t>в результате чего он составит 6 194,9 млн. рублей; на 2025 год и 2026 год объем публичных нормативных обязательств не изменяется, и составит 6 171,4 млн. рублей                        и 5 833,0 млн. рублей соответственно.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На законопроект поступили заключения от контрольно-счетной палаты Архангельской области, прокуратуры Архангельской области и министерства  юстиции Российской Федерации по Архангельской </w:t>
            </w:r>
            <w:r>
              <w:lastRenderedPageBreak/>
              <w:t xml:space="preserve">области и Ненецкому автономному округу, </w:t>
            </w:r>
            <w:r w:rsidR="00A75DA2">
              <w:t xml:space="preserve">                  </w:t>
            </w:r>
            <w:r>
              <w:t>в которых не содержится замечаний.</w:t>
            </w:r>
          </w:p>
          <w:p w:rsidR="00135CC8" w:rsidRDefault="00135CC8" w:rsidP="00C25373">
            <w:pPr>
              <w:pStyle w:val="ac"/>
              <w:ind w:left="33" w:firstLine="284"/>
              <w:jc w:val="both"/>
            </w:pP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На данный законопроект поступило </w:t>
            </w:r>
            <w:r w:rsidR="00A75DA2">
              <w:t xml:space="preserve">                          </w:t>
            </w:r>
            <w:r>
              <w:t xml:space="preserve">3 поправки от субъектов права законодательной инициативы: 2 поправки от Правительства Архангельской области (поправки № 1 и № 2 сводной таблицы поправок) и 1 поправка от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(редакционно-технического характера). Результаты голосования отражены в сводной таблице поправок.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proofErr w:type="gramStart"/>
            <w:r>
              <w:t xml:space="preserve">Поправкой № 1 (сводной таблицы поправок) Правительства Архангельской области предлагается увеличить на 2024 год бюджетные ассигнования министерству имущественных отношений Архангельской области в сумме 50,4 млн. рублей в связи </w:t>
            </w:r>
            <w:r w:rsidR="00A75DA2">
              <w:t xml:space="preserve">                     </w:t>
            </w:r>
            <w:r>
              <w:t>с необходимостью изъятия для государственных нужд Архангельской области земельных участков и здания               в целях реализации проекта «Студенческий кампус мирового уровня «Арктическая звезда» в городе Архангельске за счет дополнительных прогнозируемых доходов областного бюджета по</w:t>
            </w:r>
            <w:proofErr w:type="gramEnd"/>
            <w:r>
              <w:t xml:space="preserve"> платежам </w:t>
            </w:r>
            <w:r w:rsidR="00A75DA2">
              <w:t xml:space="preserve">                               </w:t>
            </w:r>
            <w:r>
              <w:t>от перечисления части прибыли ГУП АО «Фармация» и ГУП АО «Фонд имущества                                   и инвестиций».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proofErr w:type="gramStart"/>
            <w:r>
              <w:t xml:space="preserve">Поправкой № 2 (сводной таблицы поправок) Правительства Архангельской области предлагается исключить </w:t>
            </w:r>
            <w:r w:rsidR="00712EAE">
              <w:t xml:space="preserve">                                   </w:t>
            </w:r>
            <w:r>
              <w:lastRenderedPageBreak/>
              <w:t xml:space="preserve">из установленного областным законом </w:t>
            </w:r>
            <w:r w:rsidR="00712EAE">
              <w:t xml:space="preserve">                                  </w:t>
            </w:r>
            <w:r>
              <w:t xml:space="preserve">«Об областном бюджете на 2024 год </w:t>
            </w:r>
            <w:r w:rsidR="00712EAE">
              <w:t xml:space="preserve">                             </w:t>
            </w:r>
            <w:r>
              <w:t>и на плановый период 2025 и 2026 годов» перечня средств, подлежащих казначейскому сопровождению в 2024 году, позицию, касающуюся предоставления субсидий на финансовое обеспечение затрат юридическим лицам в рамках реализации государственной программы Архангельской области «Культура Русского Севера».</w:t>
            </w:r>
            <w:proofErr w:type="gramEnd"/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>В рамках указанной государственной программы предоставляются субсидии на финансовое обеспечение затрат юридическим лицам – некоммерческим организациям (региональным отделениям Союза художников России, Союза писателей России, Союза театральных деятелей, Союза кинематографистов, Российского военно-исторического общество и автономной некоммерческой</w:t>
            </w:r>
            <w:r w:rsidR="00712EAE">
              <w:t xml:space="preserve"> </w:t>
            </w:r>
            <w:r>
              <w:t>организации «Губернаторский центр «Вместе мы сильнее»), включенным в Реестр социально ориентированных некоммерческих организаций.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В соответствии со статьей </w:t>
            </w:r>
            <w:r w:rsidR="00712EAE">
              <w:t xml:space="preserve">                                          </w:t>
            </w:r>
            <w:r>
              <w:t xml:space="preserve">242.27 Бюджетного кодекса Российской Федерации средства, предоставляемые социально </w:t>
            </w:r>
            <w:proofErr w:type="gramStart"/>
            <w:r>
              <w:t>ориентированным</w:t>
            </w:r>
            <w:proofErr w:type="gramEnd"/>
            <w:r>
              <w:t xml:space="preserve"> некоммерческим организация, не подлежат казначейскому сопровождению.</w:t>
            </w:r>
          </w:p>
          <w:p w:rsidR="00C25373" w:rsidRDefault="00C25373" w:rsidP="00C25373">
            <w:pPr>
              <w:pStyle w:val="ac"/>
              <w:ind w:left="33" w:firstLine="284"/>
              <w:jc w:val="both"/>
            </w:pPr>
            <w:r>
              <w:t xml:space="preserve">Принятие поправки не потребует дополнительных средств </w:t>
            </w:r>
            <w:proofErr w:type="gramStart"/>
            <w:r>
              <w:t>областного</w:t>
            </w:r>
            <w:proofErr w:type="gramEnd"/>
            <w:r>
              <w:t xml:space="preserve"> бюджета.</w:t>
            </w:r>
          </w:p>
          <w:p w:rsidR="008A7FA6" w:rsidRPr="00E81688" w:rsidRDefault="00C25373" w:rsidP="00C25373">
            <w:pPr>
              <w:pStyle w:val="ac"/>
              <w:ind w:left="33" w:firstLine="284"/>
              <w:jc w:val="both"/>
            </w:pPr>
            <w:r>
              <w:t xml:space="preserve">  Поправкой № 3 (сводной таблицы поправок)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вносятся </w:t>
            </w:r>
            <w:r>
              <w:lastRenderedPageBreak/>
              <w:t>редакционно-технические правки по тексту законопроекта.</w:t>
            </w:r>
          </w:p>
        </w:tc>
        <w:tc>
          <w:tcPr>
            <w:tcW w:w="1843" w:type="dxa"/>
          </w:tcPr>
          <w:p w:rsidR="003C0AB3" w:rsidRPr="005366CD" w:rsidRDefault="003C0AB3" w:rsidP="00E067F6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067F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E067F6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413CB" w:rsidRPr="00C413CB" w:rsidRDefault="00C413CB" w:rsidP="00C413CB">
            <w:pPr>
              <w:jc w:val="both"/>
            </w:pPr>
            <w:r>
              <w:t>К</w:t>
            </w:r>
            <w:r w:rsidRPr="00C413CB">
              <w:t xml:space="preserve">омитет рекомендует депутатам областного Собрания депутатов </w:t>
            </w:r>
            <w:r w:rsidRPr="00C413CB">
              <w:rPr>
                <w:b/>
              </w:rPr>
              <w:t>принять указанный проект областного закона</w:t>
            </w:r>
            <w:r w:rsidRPr="00C413CB">
              <w:t xml:space="preserve"> на седьмой сессии Архангельского областного Собрания депутатов восьмого </w:t>
            </w:r>
            <w:r w:rsidRPr="00C413CB">
              <w:rPr>
                <w:b/>
              </w:rPr>
              <w:t>созыва в первом и во втором чтениях с учетом одобренных поправок</w:t>
            </w:r>
            <w:r w:rsidRPr="00C413CB">
              <w:t>.</w:t>
            </w:r>
          </w:p>
          <w:p w:rsidR="003C0AB3" w:rsidRPr="00361032" w:rsidRDefault="003C0AB3" w:rsidP="00924A56">
            <w:pPr>
              <w:ind w:firstLine="317"/>
              <w:jc w:val="both"/>
            </w:pPr>
          </w:p>
        </w:tc>
      </w:tr>
      <w:tr w:rsidR="008A7FA6" w:rsidRPr="00B27A37" w:rsidTr="00AE4530">
        <w:trPr>
          <w:trHeight w:val="344"/>
        </w:trPr>
        <w:tc>
          <w:tcPr>
            <w:tcW w:w="817" w:type="dxa"/>
          </w:tcPr>
          <w:p w:rsidR="008A7FA6" w:rsidRPr="003C0AB3" w:rsidRDefault="008A7FA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8A7FA6" w:rsidRPr="008A7FA6" w:rsidRDefault="008A7FA6" w:rsidP="008A7FA6">
            <w:pPr>
              <w:pStyle w:val="ac"/>
              <w:ind w:left="34" w:firstLine="326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A7FA6">
              <w:rPr>
                <w:bCs/>
              </w:rPr>
              <w:t xml:space="preserve">роект областного закона </w:t>
            </w:r>
            <w:r w:rsidRPr="004E154A">
              <w:rPr>
                <w:b/>
                <w:bCs/>
              </w:rPr>
              <w:t>пз8/55</w:t>
            </w:r>
            <w:r w:rsidRPr="008A7FA6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</w:t>
            </w:r>
            <w:r w:rsidRPr="008A7FA6">
              <w:rPr>
                <w:bCs/>
              </w:rPr>
              <w:t xml:space="preserve">«О внесении изменений в областной                       закон «Об установлении дополнительных оснований признания </w:t>
            </w:r>
            <w:proofErr w:type="gramStart"/>
            <w:r w:rsidRPr="008A7FA6">
              <w:rPr>
                <w:bCs/>
              </w:rPr>
              <w:t>безнадежными</w:t>
            </w:r>
            <w:proofErr w:type="gramEnd"/>
            <w:r w:rsidRPr="008A7FA6">
              <w:rPr>
                <w:bCs/>
              </w:rPr>
              <w:t xml:space="preserve"> </w:t>
            </w:r>
            <w:r w:rsidR="004E154A">
              <w:rPr>
                <w:bCs/>
              </w:rPr>
              <w:t xml:space="preserve">                            </w:t>
            </w:r>
            <w:r w:rsidRPr="008A7FA6">
              <w:rPr>
                <w:bCs/>
              </w:rPr>
              <w:t xml:space="preserve">к взысканию недоимки по региональным налогам, задолженности по пеням                           и штрафам по этим налогам», внесенный в порядке законодательной инициативы Губернатором Архангельской области </w:t>
            </w:r>
            <w:proofErr w:type="spellStart"/>
            <w:r w:rsidRPr="008A7FA6">
              <w:rPr>
                <w:bCs/>
              </w:rPr>
              <w:t>Цыбульским</w:t>
            </w:r>
            <w:proofErr w:type="spellEnd"/>
            <w:r w:rsidRPr="008A7FA6">
              <w:rPr>
                <w:bCs/>
              </w:rPr>
              <w:t xml:space="preserve"> А.В.</w:t>
            </w:r>
          </w:p>
          <w:p w:rsidR="008A7FA6" w:rsidRPr="00FB4987" w:rsidRDefault="008A7FA6" w:rsidP="00135CC8">
            <w:pPr>
              <w:pStyle w:val="ac"/>
              <w:ind w:left="34" w:firstLine="326"/>
              <w:jc w:val="both"/>
              <w:rPr>
                <w:bCs/>
              </w:rPr>
            </w:pPr>
            <w:r w:rsidRPr="008A7FA6">
              <w:rPr>
                <w:bCs/>
              </w:rPr>
              <w:t xml:space="preserve"> (</w:t>
            </w:r>
            <w:r w:rsidR="00135CC8" w:rsidRPr="00135CC8">
              <w:rPr>
                <w:b/>
                <w:bCs/>
              </w:rPr>
              <w:t>второе</w:t>
            </w:r>
            <w:r w:rsidRPr="004E154A">
              <w:rPr>
                <w:b/>
                <w:bCs/>
              </w:rPr>
              <w:t xml:space="preserve"> чтение</w:t>
            </w:r>
            <w:r w:rsidRPr="008A7FA6">
              <w:rPr>
                <w:bCs/>
              </w:rPr>
              <w:t>)</w:t>
            </w:r>
          </w:p>
        </w:tc>
        <w:tc>
          <w:tcPr>
            <w:tcW w:w="1701" w:type="dxa"/>
          </w:tcPr>
          <w:p w:rsidR="008A7FA6" w:rsidRDefault="004E154A" w:rsidP="00413FD7">
            <w:pPr>
              <w:shd w:val="clear" w:color="auto" w:fill="FFFFFF"/>
              <w:spacing w:line="253" w:lineRule="atLeast"/>
            </w:pPr>
            <w:r>
              <w:t>Губернатор</w:t>
            </w:r>
            <w:r w:rsidR="00926692">
              <w:t xml:space="preserve"> </w:t>
            </w:r>
            <w:proofErr w:type="spellStart"/>
            <w:proofErr w:type="gramStart"/>
            <w:r w:rsidR="00926692">
              <w:t>Архангель-ской</w:t>
            </w:r>
            <w:proofErr w:type="spellEnd"/>
            <w:proofErr w:type="gramEnd"/>
            <w:r w:rsidR="00926692">
              <w:t xml:space="preserve"> области</w:t>
            </w:r>
          </w:p>
          <w:p w:rsidR="00AB5EAD" w:rsidRDefault="00926692" w:rsidP="00413FD7">
            <w:pPr>
              <w:shd w:val="clear" w:color="auto" w:fill="FFFFFF"/>
              <w:spacing w:line="253" w:lineRule="atLeast"/>
            </w:pPr>
            <w:proofErr w:type="spellStart"/>
            <w:r>
              <w:t>Цыбульский</w:t>
            </w:r>
            <w:proofErr w:type="spellEnd"/>
            <w:r>
              <w:t xml:space="preserve"> А.В./</w:t>
            </w:r>
          </w:p>
          <w:p w:rsidR="00926692" w:rsidRDefault="00AB5EAD" w:rsidP="00413FD7">
            <w:pPr>
              <w:shd w:val="clear" w:color="auto" w:fill="FFFFFF"/>
              <w:spacing w:line="253" w:lineRule="atLeast"/>
            </w:pPr>
            <w:r>
              <w:t>Андреечев И.С.</w:t>
            </w:r>
          </w:p>
          <w:p w:rsidR="00926692" w:rsidRDefault="00926692" w:rsidP="00413FD7">
            <w:pPr>
              <w:shd w:val="clear" w:color="auto" w:fill="FFFFFF"/>
              <w:spacing w:line="253" w:lineRule="atLeast"/>
            </w:pPr>
          </w:p>
        </w:tc>
        <w:tc>
          <w:tcPr>
            <w:tcW w:w="4961" w:type="dxa"/>
          </w:tcPr>
          <w:p w:rsidR="00E82D82" w:rsidRDefault="00FE7C91" w:rsidP="008C32A8">
            <w:pPr>
              <w:pStyle w:val="ac"/>
              <w:ind w:left="0" w:firstLine="317"/>
              <w:jc w:val="both"/>
            </w:pPr>
            <w:r w:rsidRPr="00FE7C91">
              <w:t>На данный законопроект поправок от субъектов права законодательной инициативы не поступило.</w:t>
            </w:r>
          </w:p>
        </w:tc>
        <w:tc>
          <w:tcPr>
            <w:tcW w:w="1843" w:type="dxa"/>
          </w:tcPr>
          <w:p w:rsidR="008A7FA6" w:rsidRDefault="002F3077" w:rsidP="008C32A8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32A8">
              <w:rPr>
                <w:sz w:val="24"/>
                <w:szCs w:val="24"/>
              </w:rPr>
              <w:t xml:space="preserve"> соответствии        с</w:t>
            </w:r>
            <w:r>
              <w:rPr>
                <w:sz w:val="24"/>
                <w:szCs w:val="24"/>
              </w:rPr>
              <w:t xml:space="preserve"> план</w:t>
            </w:r>
            <w:r w:rsidR="008C32A8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8A7FA6" w:rsidRPr="0063705A" w:rsidRDefault="00FE7C91" w:rsidP="00FE7C91">
            <w:pPr>
              <w:ind w:firstLine="317"/>
              <w:jc w:val="both"/>
            </w:pPr>
            <w:r w:rsidRPr="00FE7C91">
              <w:t xml:space="preserve">Комитет рекомендует депутатам областного Собрания депутатов </w:t>
            </w:r>
            <w:r w:rsidRPr="004A43B3">
              <w:rPr>
                <w:b/>
              </w:rPr>
              <w:t xml:space="preserve">принять предложенный проект областного закона во втором чтении </w:t>
            </w:r>
            <w:r w:rsidRPr="00FE7C91">
              <w:t>на очередной седьмой сессии областного Собрания депутатов восьмого созыва.</w:t>
            </w:r>
          </w:p>
        </w:tc>
      </w:tr>
      <w:tr w:rsidR="003C0AB3" w:rsidRPr="001B3D90" w:rsidTr="00AE4530">
        <w:trPr>
          <w:trHeight w:val="344"/>
        </w:trPr>
        <w:tc>
          <w:tcPr>
            <w:tcW w:w="817" w:type="dxa"/>
          </w:tcPr>
          <w:p w:rsidR="003C0AB3" w:rsidRPr="003C0AB3" w:rsidRDefault="00161EE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AB3" w:rsidRPr="003C0AB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E4530" w:rsidRPr="003C0AB3" w:rsidRDefault="00AB5EAD" w:rsidP="004A43B3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r w:rsidRPr="00FB4987">
              <w:rPr>
                <w:bCs/>
              </w:rPr>
              <w:t>Рассмотрение</w:t>
            </w:r>
            <w:r w:rsidR="004A43B3">
              <w:rPr>
                <w:bCs/>
              </w:rPr>
              <w:t xml:space="preserve"> </w:t>
            </w:r>
            <w:r w:rsidR="004A43B3" w:rsidRPr="004A43B3">
              <w:rPr>
                <w:bCs/>
              </w:rPr>
              <w:t xml:space="preserve"> </w:t>
            </w:r>
            <w:r w:rsidR="004A43B3">
              <w:rPr>
                <w:bCs/>
              </w:rPr>
              <w:t>п</w:t>
            </w:r>
            <w:r w:rsidR="004A43B3" w:rsidRPr="004A43B3">
              <w:rPr>
                <w:bCs/>
              </w:rPr>
              <w:t>роект</w:t>
            </w:r>
            <w:r w:rsidR="004A43B3">
              <w:rPr>
                <w:bCs/>
              </w:rPr>
              <w:t>а</w:t>
            </w:r>
            <w:r w:rsidR="004A43B3" w:rsidRPr="004A43B3">
              <w:rPr>
                <w:bCs/>
              </w:rPr>
              <w:t xml:space="preserve"> постановления </w:t>
            </w:r>
            <w:r w:rsidR="004A43B3">
              <w:rPr>
                <w:bCs/>
              </w:rPr>
              <w:t xml:space="preserve">                         </w:t>
            </w:r>
            <w:r w:rsidR="004A43B3" w:rsidRPr="004A43B3">
              <w:rPr>
                <w:bCs/>
              </w:rPr>
              <w:t xml:space="preserve">№ пп8/87                          «О ежегодном отчете о деятельности контрольно-счетной палаты </w:t>
            </w:r>
            <w:r w:rsidR="004A43B3" w:rsidRPr="004A43B3">
              <w:rPr>
                <w:bCs/>
              </w:rPr>
              <w:lastRenderedPageBreak/>
              <w:t>Архангельской области                          за 2023 год»</w:t>
            </w:r>
          </w:p>
        </w:tc>
        <w:tc>
          <w:tcPr>
            <w:tcW w:w="1701" w:type="dxa"/>
          </w:tcPr>
          <w:p w:rsidR="00F30FB7" w:rsidRDefault="005E366A" w:rsidP="004A43B3">
            <w:pPr>
              <w:jc w:val="both"/>
            </w:pPr>
            <w:r>
              <w:lastRenderedPageBreak/>
              <w:t xml:space="preserve">Председатель контрольно-счетной палаты </w:t>
            </w:r>
            <w:proofErr w:type="spellStart"/>
            <w:proofErr w:type="gramStart"/>
            <w:r>
              <w:t>Архангель-ской</w:t>
            </w:r>
            <w:proofErr w:type="spellEnd"/>
            <w:proofErr w:type="gramEnd"/>
            <w:r>
              <w:t xml:space="preserve"> области Дементьев А.А./</w:t>
            </w:r>
          </w:p>
          <w:p w:rsidR="005E366A" w:rsidRPr="003C0AB3" w:rsidRDefault="00430512" w:rsidP="004A43B3">
            <w:pPr>
              <w:jc w:val="both"/>
            </w:pPr>
            <w:r>
              <w:lastRenderedPageBreak/>
              <w:t>Д</w:t>
            </w:r>
            <w:r w:rsidR="005E366A">
              <w:t>емен</w:t>
            </w:r>
            <w:r>
              <w:t>тьев А.А.</w:t>
            </w:r>
          </w:p>
        </w:tc>
        <w:tc>
          <w:tcPr>
            <w:tcW w:w="4961" w:type="dxa"/>
          </w:tcPr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lastRenderedPageBreak/>
              <w:t xml:space="preserve">Рассматриваемый ежегодный отчет </w:t>
            </w:r>
            <w:r w:rsidR="004130CC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430512">
              <w:rPr>
                <w:b w:val="0"/>
                <w:sz w:val="24"/>
                <w:szCs w:val="24"/>
              </w:rPr>
              <w:t>о деятельности контрольно-счетной палаты Архангельской области внесен в соответствии с пунктом  2  статьи 21 областного закона от 30 мая 2011 года № 288-22-ОЗ «О контрольно-счетной палате Архангельской области». Отчет содержит данные: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lastRenderedPageBreak/>
              <w:t xml:space="preserve">основные итоги деятельности контрольно-счетной палаты Архангельской области </w:t>
            </w:r>
            <w:r w:rsidR="004130CC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за 2023 год; 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экспертно-аналитические мероприятия;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контрольные мероприятия;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реализация полномочий контрольно-счетной палаты Архангельской области по аудиту </w:t>
            </w:r>
            <w:r w:rsidR="004130CC">
              <w:rPr>
                <w:b w:val="0"/>
                <w:sz w:val="24"/>
                <w:szCs w:val="24"/>
              </w:rPr>
              <w:t xml:space="preserve">                 </w:t>
            </w:r>
            <w:r w:rsidRPr="00430512">
              <w:rPr>
                <w:b w:val="0"/>
                <w:sz w:val="24"/>
                <w:szCs w:val="24"/>
              </w:rPr>
              <w:t>в сфере закупок;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реализация полномочий контрольно-счетной палаты в части административного производства;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судопроизводство в арбитражных судах, исполнение судебных актов о возмещении причиненного нарушением бюджетного законодательства Российской Федерации </w:t>
            </w:r>
            <w:r w:rsidR="004130CC">
              <w:rPr>
                <w:b w:val="0"/>
                <w:sz w:val="24"/>
                <w:szCs w:val="24"/>
              </w:rPr>
              <w:t xml:space="preserve">                   </w:t>
            </w:r>
            <w:r w:rsidRPr="00430512">
              <w:rPr>
                <w:b w:val="0"/>
                <w:sz w:val="24"/>
                <w:szCs w:val="24"/>
              </w:rPr>
              <w:t>и иных нормативных правовых актов, регулирующих бюджетные правоотношения, ущерба Архангельской области;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взаимодействие со Счетной палатой Российской Федерации, Советом контрольно-счетных органов, контрольно-счетными органами муниципальных образований, </w:t>
            </w:r>
            <w:r w:rsidR="004130CC">
              <w:rPr>
                <w:b w:val="0"/>
                <w:sz w:val="24"/>
                <w:szCs w:val="24"/>
              </w:rPr>
              <w:t xml:space="preserve">                    </w:t>
            </w:r>
            <w:r w:rsidRPr="00430512">
              <w:rPr>
                <w:b w:val="0"/>
                <w:sz w:val="24"/>
                <w:szCs w:val="24"/>
              </w:rPr>
              <w:t>с правоохранительными органами и иными органами;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основные направления деятельности и задачи контрольно-счетной палаты Архангельской области в 2024 году.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В 2023 году контрольно-счетной палатой Архангельской области проведено 75 мероприятий, из них 30 контрольных мероприятий и 45 экспертно-аналитических. Проведено совместно </w:t>
            </w:r>
            <w:r w:rsidR="004130CC">
              <w:rPr>
                <w:b w:val="0"/>
                <w:sz w:val="24"/>
                <w:szCs w:val="24"/>
              </w:rPr>
              <w:t xml:space="preserve">                  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с </w:t>
            </w:r>
            <w:proofErr w:type="gramStart"/>
            <w:r w:rsidRPr="00430512">
              <w:rPr>
                <w:b w:val="0"/>
                <w:sz w:val="24"/>
                <w:szCs w:val="24"/>
              </w:rPr>
              <w:t>правоохранительными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органами 10 мероприятий и 10 мероприятий по поручению Архангельского областного Собрания депутатов, со Счетной палатой </w:t>
            </w:r>
            <w:r w:rsidRPr="00430512">
              <w:rPr>
                <w:b w:val="0"/>
                <w:sz w:val="24"/>
                <w:szCs w:val="24"/>
              </w:rPr>
              <w:lastRenderedPageBreak/>
              <w:t>Российской Федерации 1 мероприятие.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Общая сумма выявленных нарушений в ходе осуществления внешнего государственного финансового контроля составила 2 714,5 млн. рублей, подлежит возврату в бюджет </w:t>
            </w:r>
            <w:r w:rsidR="004130CC">
              <w:rPr>
                <w:b w:val="0"/>
                <w:sz w:val="24"/>
                <w:szCs w:val="24"/>
              </w:rPr>
              <w:t xml:space="preserve">                      </w:t>
            </w:r>
            <w:r w:rsidRPr="00430512">
              <w:rPr>
                <w:b w:val="0"/>
                <w:sz w:val="24"/>
                <w:szCs w:val="24"/>
              </w:rPr>
              <w:t>159,6 млн. рублей.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Установлено 360 фактов нецелевого использования бюджетных средств на общую сумму 159,4 млн. рублей.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Обеспечен возврат сре</w:t>
            </w:r>
            <w:proofErr w:type="gramStart"/>
            <w:r w:rsidRPr="00430512">
              <w:rPr>
                <w:b w:val="0"/>
                <w:sz w:val="24"/>
                <w:szCs w:val="24"/>
              </w:rPr>
              <w:t>дств в б</w:t>
            </w:r>
            <w:proofErr w:type="gramEnd"/>
            <w:r w:rsidRPr="00430512">
              <w:rPr>
                <w:b w:val="0"/>
                <w:sz w:val="24"/>
                <w:szCs w:val="24"/>
              </w:rPr>
              <w:t>юджеты всех уровней в отчетном году в размере 71,8 млн. рублей.</w:t>
            </w:r>
          </w:p>
          <w:p w:rsidR="00430512" w:rsidRPr="00430512" w:rsidRDefault="00430512" w:rsidP="00BE607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30512">
              <w:rPr>
                <w:b w:val="0"/>
                <w:sz w:val="24"/>
                <w:szCs w:val="24"/>
              </w:rPr>
              <w:t xml:space="preserve">Контрольно-счетной палатой Архангельской области по итогам проведенных мероприятий внесено 45 представлений, направлено в финансовый орган 7 уведомлений о применении бюджетных мер принуждения, </w:t>
            </w:r>
            <w:r w:rsidR="00BE6074">
              <w:rPr>
                <w:b w:val="0"/>
                <w:sz w:val="24"/>
                <w:szCs w:val="24"/>
              </w:rPr>
              <w:t xml:space="preserve">                                         </w:t>
            </w:r>
            <w:r w:rsidRPr="00430512">
              <w:rPr>
                <w:b w:val="0"/>
                <w:sz w:val="24"/>
                <w:szCs w:val="24"/>
              </w:rPr>
              <w:t>в правоохранительные органы направлены материалы</w:t>
            </w:r>
            <w:r w:rsidR="004130CC">
              <w:rPr>
                <w:b w:val="0"/>
                <w:sz w:val="24"/>
                <w:szCs w:val="24"/>
              </w:rPr>
              <w:t xml:space="preserve"> </w:t>
            </w:r>
            <w:r w:rsidRPr="00430512">
              <w:rPr>
                <w:b w:val="0"/>
                <w:sz w:val="24"/>
                <w:szCs w:val="24"/>
              </w:rPr>
              <w:t>по 21 контрольному мероприятию, составлено 26 протоколов                                                 об административных правонарушениях, возбуждено 2 уголовных дела.</w:t>
            </w:r>
            <w:proofErr w:type="gramEnd"/>
          </w:p>
          <w:p w:rsidR="00430512" w:rsidRPr="00430512" w:rsidRDefault="00430512" w:rsidP="00102D9E">
            <w:pPr>
              <w:pStyle w:val="ConsPlusTitle"/>
              <w:ind w:firstLine="175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30512">
              <w:rPr>
                <w:b w:val="0"/>
                <w:sz w:val="24"/>
                <w:szCs w:val="24"/>
              </w:rPr>
              <w:t xml:space="preserve">В 2023 году проведено 30 контрольных мероприятий, по результатам которых выявлено 1 050 нарушений на сумму </w:t>
            </w:r>
            <w:r w:rsidR="00BE6074">
              <w:rPr>
                <w:b w:val="0"/>
                <w:sz w:val="24"/>
                <w:szCs w:val="24"/>
              </w:rPr>
              <w:t xml:space="preserve"> 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2 415,5 млн. рублей наибольшее количество нарушений при проведении отдельных контрольных мероприятий контрольно-счетной палатой Архангельской области отмечено в разрезе следующих главных распорядителей бюджетных средств: министерства строительства и архитектуры Архангельской области (308 нарушений                           на сумму 402,9 млн. рублей), министерства топливно-энергетического комплекса </w:t>
            </w:r>
            <w:r w:rsidR="00BE6074">
              <w:rPr>
                <w:b w:val="0"/>
                <w:sz w:val="24"/>
                <w:szCs w:val="24"/>
              </w:rPr>
              <w:t xml:space="preserve">                           </w:t>
            </w:r>
            <w:r w:rsidRPr="00430512">
              <w:rPr>
                <w:b w:val="0"/>
                <w:sz w:val="24"/>
                <w:szCs w:val="24"/>
              </w:rPr>
              <w:lastRenderedPageBreak/>
              <w:t>и жилищно-коммунального хозяйства Архангельской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области (157 нарушений на сумму 207,6 млн. рублей), министерство труда, занятости и социального развития Архангельской области (86 нарушений                       на сумму 119,2 млн. рублей).</w:t>
            </w:r>
          </w:p>
          <w:p w:rsidR="00430512" w:rsidRPr="00430512" w:rsidRDefault="00430512" w:rsidP="00102D9E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В производстве контрольно-счетной палаты Архангельской области  за период 2023 года в общей сложности находилось 24 дела, по части из которых (10 </w:t>
            </w:r>
            <w:proofErr w:type="gramStart"/>
            <w:r w:rsidRPr="00430512">
              <w:rPr>
                <w:b w:val="0"/>
                <w:sz w:val="24"/>
                <w:szCs w:val="24"/>
              </w:rPr>
              <w:t xml:space="preserve">дел) 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производство возбуждено в суде первой инстанции ранее 2023 года (в 2022 году осуществлялось производство по 32 делам). </w:t>
            </w:r>
            <w:r w:rsidR="00102D9E">
              <w:rPr>
                <w:b w:val="0"/>
                <w:sz w:val="24"/>
                <w:szCs w:val="24"/>
              </w:rPr>
              <w:t xml:space="preserve">                        </w:t>
            </w:r>
            <w:r w:rsidRPr="00430512">
              <w:rPr>
                <w:b w:val="0"/>
                <w:sz w:val="24"/>
                <w:szCs w:val="24"/>
              </w:rPr>
              <w:t>С целью рассмотрения указанных дел судами различных инстанций за период 2023 года было назначено более 60 судебных заседаний (в 2022 году – 75 заседаний),</w:t>
            </w:r>
            <w:r w:rsidR="00B75C1C">
              <w:rPr>
                <w:b w:val="0"/>
                <w:sz w:val="24"/>
                <w:szCs w:val="24"/>
              </w:rPr>
              <w:t xml:space="preserve"> </w:t>
            </w:r>
            <w:r w:rsidRPr="00430512">
              <w:rPr>
                <w:b w:val="0"/>
                <w:sz w:val="24"/>
                <w:szCs w:val="24"/>
              </w:rPr>
              <w:t>в которых участвовали представители контрольно-счетной палаты Архангельской области.</w:t>
            </w:r>
          </w:p>
          <w:p w:rsidR="00430512" w:rsidRPr="00430512" w:rsidRDefault="00430512" w:rsidP="00AD675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Средства, подлежащие возврату в связи </w:t>
            </w:r>
            <w:r w:rsidR="00B75C1C">
              <w:rPr>
                <w:b w:val="0"/>
                <w:sz w:val="24"/>
                <w:szCs w:val="24"/>
              </w:rPr>
              <w:t xml:space="preserve">                     </w:t>
            </w:r>
            <w:r w:rsidRPr="00430512">
              <w:rPr>
                <w:b w:val="0"/>
                <w:sz w:val="24"/>
                <w:szCs w:val="24"/>
              </w:rPr>
              <w:t xml:space="preserve">с нарушениями их использования, рассмотренными в суде, составили более 93% от общего размера требований, основанных на оспаривании финансовых нарушений (нарушений, влекущих возврат). 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>Согласно отчета контрольно-счетной палаты Архангельской области большая часть судебных дел в 2023 году связана со спорами, возникшими из-за результатов проверок законности расходования бюджетных сре</w:t>
            </w:r>
            <w:proofErr w:type="gramStart"/>
            <w:r w:rsidRPr="00430512">
              <w:rPr>
                <w:b w:val="0"/>
                <w:sz w:val="24"/>
                <w:szCs w:val="24"/>
              </w:rPr>
              <w:t>дств                     пр</w:t>
            </w:r>
            <w:proofErr w:type="gramEnd"/>
            <w:r w:rsidRPr="00430512">
              <w:rPr>
                <w:b w:val="0"/>
                <w:sz w:val="24"/>
                <w:szCs w:val="24"/>
              </w:rPr>
              <w:t>и строительстве объектов. Главными распорядителями</w:t>
            </w:r>
            <w:r w:rsidR="00B75C1C">
              <w:rPr>
                <w:b w:val="0"/>
                <w:sz w:val="24"/>
                <w:szCs w:val="24"/>
              </w:rPr>
              <w:t xml:space="preserve"> </w:t>
            </w:r>
            <w:r w:rsidRPr="00430512">
              <w:rPr>
                <w:b w:val="0"/>
                <w:sz w:val="24"/>
                <w:szCs w:val="24"/>
              </w:rPr>
              <w:t xml:space="preserve">бюджетных                        средств, направляемых для реализации программных мероприятий                                по строительству, являлись министерство строительства и архитектуры Архангельской </w:t>
            </w:r>
            <w:r w:rsidRPr="00430512">
              <w:rPr>
                <w:b w:val="0"/>
                <w:sz w:val="24"/>
                <w:szCs w:val="24"/>
              </w:rPr>
              <w:lastRenderedPageBreak/>
              <w:t xml:space="preserve">области (строительство детских садов, школ),                          министерство образования Архангельской области (капитальный ремонт                        школ) и министерство топливно-энергетического комплекса                                                 и жилищно-коммунального хозяйства Архангельской области (комфортная городская среда, возведение водоочистных сооружений). </w:t>
            </w:r>
          </w:p>
          <w:p w:rsidR="00430512" w:rsidRPr="00430512" w:rsidRDefault="00430512" w:rsidP="00AD675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Существенная доля нарушений в сфере строительства приходится, как  и ранее, </w:t>
            </w:r>
            <w:r w:rsidR="00B75C1C">
              <w:rPr>
                <w:b w:val="0"/>
                <w:sz w:val="24"/>
                <w:szCs w:val="24"/>
              </w:rPr>
              <w:t xml:space="preserve">                       </w:t>
            </w:r>
            <w:r w:rsidRPr="00430512">
              <w:rPr>
                <w:b w:val="0"/>
                <w:sz w:val="24"/>
                <w:szCs w:val="24"/>
              </w:rPr>
              <w:t xml:space="preserve">на объекты, курируемые ГКУ АО «Главное управление капитального строительства». </w:t>
            </w:r>
            <w:r w:rsidR="00B75C1C">
              <w:rPr>
                <w:b w:val="0"/>
                <w:sz w:val="24"/>
                <w:szCs w:val="24"/>
              </w:rPr>
              <w:t xml:space="preserve">                     </w:t>
            </w:r>
            <w:r w:rsidRPr="00430512">
              <w:rPr>
                <w:b w:val="0"/>
                <w:sz w:val="24"/>
                <w:szCs w:val="24"/>
              </w:rPr>
              <w:t xml:space="preserve">В ходе проверок контрольно-счетной палаты Архангельской области продолжают обнаруживаться факты некачественной приемки работ, в том числе в отсутствие представителей данного учреждения </w:t>
            </w:r>
            <w:r w:rsidR="00BA08BD">
              <w:rPr>
                <w:b w:val="0"/>
                <w:sz w:val="24"/>
                <w:szCs w:val="24"/>
              </w:rPr>
              <w:t xml:space="preserve">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на объекте, а также факты отсутствия </w:t>
            </w:r>
            <w:proofErr w:type="gramStart"/>
            <w:r w:rsidRPr="00430512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достоверностью получаемых                                от подрядчика документов. </w:t>
            </w:r>
          </w:p>
          <w:p w:rsidR="00430512" w:rsidRPr="00430512" w:rsidRDefault="00430512" w:rsidP="004305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Как отмечается в отчете продолжает сохраняться пассивная позиция муниципальных заказчиков, являющихся истцами в реализацию требований контрольно-счетной палаты Архангельской области, в связи </w:t>
            </w:r>
            <w:proofErr w:type="gramStart"/>
            <w:r w:rsidRPr="00430512">
              <w:rPr>
                <w:b w:val="0"/>
                <w:sz w:val="24"/>
                <w:szCs w:val="24"/>
              </w:rPr>
              <w:t>с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чем в ходе судебных разбирательств именно контрольно-счетный орган, привлеченный в качестве третьего лица, вынужден выполнять основную функцию защитника интересов публично-правового образования.</w:t>
            </w:r>
          </w:p>
          <w:p w:rsidR="00430512" w:rsidRPr="00430512" w:rsidRDefault="00430512" w:rsidP="00AD675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Также отмечается в отчете за 2023 год, </w:t>
            </w:r>
            <w:r w:rsidR="00AD6754">
              <w:rPr>
                <w:b w:val="0"/>
                <w:sz w:val="24"/>
                <w:szCs w:val="24"/>
              </w:rPr>
              <w:t xml:space="preserve">      </w:t>
            </w:r>
            <w:r w:rsidRPr="00430512">
              <w:rPr>
                <w:b w:val="0"/>
                <w:sz w:val="24"/>
                <w:szCs w:val="24"/>
              </w:rPr>
              <w:t xml:space="preserve">что заказчики (зачастую совместно </w:t>
            </w:r>
            <w:r w:rsidR="00BA08BD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с профильными министерствами) вместо отстаивания интересов бюджета в судебных </w:t>
            </w:r>
            <w:r w:rsidRPr="00430512">
              <w:rPr>
                <w:b w:val="0"/>
                <w:sz w:val="24"/>
                <w:szCs w:val="24"/>
              </w:rPr>
              <w:lastRenderedPageBreak/>
              <w:t xml:space="preserve">инстанциях неизменно придерживаются позиции защиты подрядных организаций, что проявляется в официальных отзывах, а также                       в консультациях их представителей по поиску/формулированию различных версий, опровергающих выводы проверок. </w:t>
            </w:r>
          </w:p>
          <w:p w:rsidR="00430512" w:rsidRPr="00430512" w:rsidRDefault="00430512" w:rsidP="00AD675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При этом, как показывают результаты проверок, главными распорядителями бюджетных средств (профильными министерствами) не предпринимаются комплексные меры по предупреждению нарушений в подведомственных учреждениях, что приводит к сохранению рисков их повторения. В связи с указанным отмечается министерство труда,                               занятости и социального развития Архангельской области, со стороны которого не принимались должные комплексные меры, направленные на предупреждение повторения выявленных нарушений, </w:t>
            </w:r>
            <w:r w:rsidR="00BA08BD">
              <w:rPr>
                <w:b w:val="0"/>
                <w:sz w:val="24"/>
                <w:szCs w:val="24"/>
              </w:rPr>
              <w:t xml:space="preserve">                    </w:t>
            </w:r>
            <w:r w:rsidRPr="00430512">
              <w:rPr>
                <w:b w:val="0"/>
                <w:sz w:val="24"/>
                <w:szCs w:val="24"/>
              </w:rPr>
              <w:t xml:space="preserve">что привело к неверному исполнению показателей государственного задания подведомственных учреждений социальной сферы, и подтверждено областным арбитражным судом. </w:t>
            </w:r>
          </w:p>
          <w:p w:rsidR="00430512" w:rsidRPr="00430512" w:rsidRDefault="00430512" w:rsidP="00AD6754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В отчете также отмечается уменьшение </w:t>
            </w:r>
            <w:r w:rsidR="00B3138D">
              <w:rPr>
                <w:b w:val="0"/>
                <w:sz w:val="24"/>
                <w:szCs w:val="24"/>
              </w:rPr>
              <w:t xml:space="preserve">                   </w:t>
            </w:r>
            <w:r w:rsidRPr="00430512">
              <w:rPr>
                <w:b w:val="0"/>
                <w:sz w:val="24"/>
                <w:szCs w:val="24"/>
              </w:rPr>
              <w:t xml:space="preserve">в 2023 году количества дел                                            об оспаривании представлений, вынесенных по результатам проверок при строительстве объектов. Муниципальные заказчики обращаются с иском к подрядчикам, привлекая к участию в деле контрольно-счетную палату Архангельской области, </w:t>
            </w:r>
            <w:r w:rsidR="00B3138D">
              <w:rPr>
                <w:b w:val="0"/>
                <w:sz w:val="24"/>
                <w:szCs w:val="24"/>
              </w:rPr>
              <w:t xml:space="preserve">               </w:t>
            </w:r>
            <w:r w:rsidRPr="00430512">
              <w:rPr>
                <w:b w:val="0"/>
                <w:sz w:val="24"/>
                <w:szCs w:val="24"/>
              </w:rPr>
              <w:t xml:space="preserve">что является эффективным инструментом </w:t>
            </w:r>
            <w:r w:rsidR="00B3138D">
              <w:rPr>
                <w:b w:val="0"/>
                <w:sz w:val="24"/>
                <w:szCs w:val="24"/>
              </w:rPr>
              <w:t xml:space="preserve">               </w:t>
            </w:r>
            <w:r w:rsidRPr="00430512">
              <w:rPr>
                <w:b w:val="0"/>
                <w:sz w:val="24"/>
                <w:szCs w:val="24"/>
              </w:rPr>
              <w:t xml:space="preserve">в реализации результатов финансового контроля.  </w:t>
            </w:r>
          </w:p>
          <w:p w:rsidR="00430512" w:rsidRPr="00430512" w:rsidRDefault="00430512" w:rsidP="004E5AA3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lastRenderedPageBreak/>
              <w:t xml:space="preserve">Комитет отмечает, что итоги деятельности контрольно-счетной палаты Архангельской области за 2023 год свидетельствуют </w:t>
            </w:r>
            <w:r w:rsidR="00AD6754">
              <w:rPr>
                <w:b w:val="0"/>
                <w:sz w:val="24"/>
                <w:szCs w:val="24"/>
              </w:rPr>
              <w:t xml:space="preserve">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о ее эффективной и результативной работе. Контрольные мероприятия, проведенные </w:t>
            </w:r>
            <w:r w:rsidR="00B3138D">
              <w:rPr>
                <w:b w:val="0"/>
                <w:sz w:val="24"/>
                <w:szCs w:val="24"/>
              </w:rPr>
              <w:t xml:space="preserve">                 </w:t>
            </w:r>
            <w:r w:rsidRPr="00430512">
              <w:rPr>
                <w:b w:val="0"/>
                <w:sz w:val="24"/>
                <w:szCs w:val="24"/>
              </w:rPr>
              <w:t xml:space="preserve">в части законности и целевого расходования средств областного бюджета, охватывали различные сферы деятельности. Необходимо отметить работу, проводимую контрольно-счетной палатой Архангельской области </w:t>
            </w:r>
            <w:r w:rsidR="00B3138D">
              <w:rPr>
                <w:b w:val="0"/>
                <w:sz w:val="24"/>
                <w:szCs w:val="24"/>
              </w:rPr>
              <w:t xml:space="preserve">                      </w:t>
            </w:r>
            <w:r w:rsidRPr="00430512">
              <w:rPr>
                <w:b w:val="0"/>
                <w:sz w:val="24"/>
                <w:szCs w:val="24"/>
              </w:rPr>
              <w:t xml:space="preserve">в части реализации материалов проверок </w:t>
            </w:r>
            <w:r w:rsidR="00B3138D">
              <w:rPr>
                <w:b w:val="0"/>
                <w:sz w:val="24"/>
                <w:szCs w:val="24"/>
              </w:rPr>
              <w:t xml:space="preserve">                  </w:t>
            </w:r>
            <w:r w:rsidRPr="00430512">
              <w:rPr>
                <w:b w:val="0"/>
                <w:sz w:val="24"/>
                <w:szCs w:val="24"/>
              </w:rPr>
              <w:t xml:space="preserve">и направления их в органы прокуратуры </w:t>
            </w:r>
            <w:r w:rsidR="00B3138D">
              <w:rPr>
                <w:b w:val="0"/>
                <w:sz w:val="24"/>
                <w:szCs w:val="24"/>
              </w:rPr>
              <w:t xml:space="preserve">                  </w:t>
            </w:r>
            <w:r w:rsidRPr="00430512">
              <w:rPr>
                <w:b w:val="0"/>
                <w:sz w:val="24"/>
                <w:szCs w:val="24"/>
              </w:rPr>
              <w:t xml:space="preserve">и иные правоохранительные органы, составлению протоколов об административных нарушениях, привлечения к дисциплинарной ответственности должностных лиц, допустивших нарушения бюджетного законодательства. </w:t>
            </w:r>
            <w:proofErr w:type="gramStart"/>
            <w:r w:rsidRPr="00430512">
              <w:rPr>
                <w:b w:val="0"/>
                <w:sz w:val="24"/>
                <w:szCs w:val="24"/>
              </w:rPr>
              <w:t xml:space="preserve">Кроме того, комитет отмечает значимую работу, проводимую контрольно-счетной палатой                     Архангельской области в 2023 году </w:t>
            </w:r>
            <w:r w:rsidR="00525E4B">
              <w:rPr>
                <w:b w:val="0"/>
                <w:sz w:val="24"/>
                <w:szCs w:val="24"/>
              </w:rPr>
              <w:t xml:space="preserve">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по устранению выявленных нарушений                    в ходе рассмотрения законопроектов </w:t>
            </w:r>
            <w:r w:rsidR="00525E4B">
              <w:rPr>
                <w:b w:val="0"/>
                <w:sz w:val="24"/>
                <w:szCs w:val="24"/>
              </w:rPr>
              <w:t xml:space="preserve">                       </w:t>
            </w:r>
            <w:r w:rsidRPr="00430512">
              <w:rPr>
                <w:b w:val="0"/>
                <w:sz w:val="24"/>
                <w:szCs w:val="24"/>
              </w:rPr>
              <w:t xml:space="preserve">на соответствие нормам бюджетного законодательства Российской Федерации </w:t>
            </w:r>
            <w:r w:rsidR="00525E4B">
              <w:rPr>
                <w:b w:val="0"/>
                <w:sz w:val="24"/>
                <w:szCs w:val="24"/>
              </w:rPr>
              <w:t xml:space="preserve">                 </w:t>
            </w:r>
            <w:r w:rsidRPr="00430512">
              <w:rPr>
                <w:b w:val="0"/>
                <w:sz w:val="24"/>
                <w:szCs w:val="24"/>
              </w:rPr>
              <w:t xml:space="preserve">и Архангельской области                                               при проведении экспертно-аналитических мероприятий, а также формулированию ряда предложений, направленных </w:t>
            </w:r>
            <w:r w:rsidR="00525E4B">
              <w:rPr>
                <w:b w:val="0"/>
                <w:sz w:val="24"/>
                <w:szCs w:val="24"/>
              </w:rPr>
              <w:t xml:space="preserve">                                       </w:t>
            </w:r>
            <w:r w:rsidRPr="00430512">
              <w:rPr>
                <w:b w:val="0"/>
                <w:sz w:val="24"/>
                <w:szCs w:val="24"/>
              </w:rPr>
              <w:t>на устранение и недопущение нарушений бюджетного характера,</w:t>
            </w:r>
            <w:r w:rsidR="00525E4B">
              <w:rPr>
                <w:b w:val="0"/>
                <w:sz w:val="24"/>
                <w:szCs w:val="24"/>
              </w:rPr>
              <w:t xml:space="preserve"> </w:t>
            </w:r>
            <w:r w:rsidRPr="00430512">
              <w:rPr>
                <w:b w:val="0"/>
                <w:sz w:val="24"/>
                <w:szCs w:val="24"/>
              </w:rPr>
              <w:t>включенных                                         в рекомендации по итогам проведения парламентских мероприятий Архангельского областного Собрания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депутатов.     </w:t>
            </w:r>
          </w:p>
          <w:p w:rsidR="00430512" w:rsidRPr="00430512" w:rsidRDefault="00430512" w:rsidP="004E5AA3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Комитет рекомендует контрольно-счетной палате Архангельской области, продолжить </w:t>
            </w:r>
            <w:r w:rsidRPr="00430512">
              <w:rPr>
                <w:b w:val="0"/>
                <w:sz w:val="24"/>
                <w:szCs w:val="24"/>
              </w:rPr>
              <w:lastRenderedPageBreak/>
              <w:t xml:space="preserve">взаимодействие с исполнительными органами государственной власти Архангельской области и с профильными комитетами Архангельского областного Собрания депутатов по рассмотрению результатов, проведенных контрольных мероприятий и предложений </w:t>
            </w:r>
            <w:r w:rsidR="00525E4B">
              <w:rPr>
                <w:b w:val="0"/>
                <w:sz w:val="24"/>
                <w:szCs w:val="24"/>
              </w:rPr>
              <w:t xml:space="preserve">         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о необходимости изменения </w:t>
            </w:r>
            <w:r w:rsidR="00525E4B">
              <w:rPr>
                <w:b w:val="0"/>
                <w:sz w:val="24"/>
                <w:szCs w:val="24"/>
              </w:rPr>
              <w:t xml:space="preserve">                                           </w:t>
            </w:r>
            <w:r w:rsidRPr="00430512">
              <w:rPr>
                <w:b w:val="0"/>
                <w:sz w:val="24"/>
                <w:szCs w:val="24"/>
              </w:rPr>
              <w:t xml:space="preserve">и совершенствования федерального </w:t>
            </w:r>
            <w:r w:rsidR="00525E4B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430512">
              <w:rPr>
                <w:b w:val="0"/>
                <w:sz w:val="24"/>
                <w:szCs w:val="24"/>
              </w:rPr>
              <w:t>и областного законодательства.</w:t>
            </w:r>
          </w:p>
          <w:p w:rsidR="00430512" w:rsidRPr="00430512" w:rsidRDefault="00430512" w:rsidP="004E5AA3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30512">
              <w:rPr>
                <w:b w:val="0"/>
                <w:sz w:val="24"/>
                <w:szCs w:val="24"/>
              </w:rPr>
              <w:t>Комитет, рассмотрев результаты проведенных контрольных                мероприятий контрольно-счетной палатой Архангельской области,  рекомендует Правительству Архангельской области определить</w:t>
            </w:r>
            <w:r w:rsidR="00525E4B">
              <w:rPr>
                <w:b w:val="0"/>
                <w:sz w:val="24"/>
                <w:szCs w:val="24"/>
              </w:rPr>
              <w:t xml:space="preserve"> </w:t>
            </w:r>
            <w:r w:rsidRPr="00430512">
              <w:rPr>
                <w:b w:val="0"/>
                <w:sz w:val="24"/>
                <w:szCs w:val="24"/>
              </w:rPr>
              <w:t xml:space="preserve">заказчиком – исполнителем мероприятий по капитальному                       ремонту объектов образования, социальной защиты, здравоохранения, культуры уполномоченное профильное учреждение </w:t>
            </w:r>
            <w:r w:rsidR="00525E4B">
              <w:rPr>
                <w:b w:val="0"/>
                <w:sz w:val="24"/>
                <w:szCs w:val="24"/>
              </w:rPr>
              <w:t xml:space="preserve">                     </w:t>
            </w:r>
            <w:r w:rsidRPr="00430512">
              <w:rPr>
                <w:b w:val="0"/>
                <w:sz w:val="24"/>
                <w:szCs w:val="24"/>
              </w:rPr>
              <w:t>с  функциями заказчика или строительного контроля либо функциями строительного контроля, в отношении капитального ремонта таких объектов, в том числе при окончательной приемке работ.</w:t>
            </w:r>
            <w:proofErr w:type="gramEnd"/>
          </w:p>
          <w:p w:rsidR="00CC36D4" w:rsidRDefault="00430512" w:rsidP="004E5AA3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430512">
              <w:rPr>
                <w:b w:val="0"/>
                <w:sz w:val="24"/>
                <w:szCs w:val="24"/>
              </w:rPr>
              <w:t xml:space="preserve">В соответствии с подпунктом 1 пункта 1 статьи 14 областного закона от 30 мая </w:t>
            </w:r>
            <w:r w:rsidR="00102D9E">
              <w:rPr>
                <w:b w:val="0"/>
                <w:sz w:val="24"/>
                <w:szCs w:val="24"/>
              </w:rPr>
              <w:t xml:space="preserve">                        </w:t>
            </w:r>
            <w:r w:rsidRPr="00430512">
              <w:rPr>
                <w:b w:val="0"/>
                <w:sz w:val="24"/>
                <w:szCs w:val="24"/>
              </w:rPr>
              <w:t xml:space="preserve">2011 года № 288-22-ОЗ «О контрольно-счетной палате Архангельской области» отчет о деятельности </w:t>
            </w:r>
            <w:proofErr w:type="gramStart"/>
            <w:r w:rsidRPr="00430512">
              <w:rPr>
                <w:b w:val="0"/>
                <w:sz w:val="24"/>
                <w:szCs w:val="24"/>
              </w:rPr>
              <w:t>рассмотрен на коллегии контрольно-счетной палаты Архангельской области и рекомендован</w:t>
            </w:r>
            <w:proofErr w:type="gramEnd"/>
            <w:r w:rsidRPr="00430512">
              <w:rPr>
                <w:b w:val="0"/>
                <w:sz w:val="24"/>
                <w:szCs w:val="24"/>
              </w:rPr>
              <w:t xml:space="preserve"> к утверждению председателем контрольно-счетной палаты Архангельской области.</w:t>
            </w:r>
            <w:r w:rsidR="00102D9E">
              <w:rPr>
                <w:b w:val="0"/>
                <w:sz w:val="24"/>
                <w:szCs w:val="24"/>
              </w:rPr>
              <w:t xml:space="preserve"> </w:t>
            </w:r>
          </w:p>
          <w:p w:rsidR="00102D9E" w:rsidRDefault="00102D9E" w:rsidP="00102D9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02D9E" w:rsidRPr="00BF2EEC" w:rsidRDefault="00102D9E" w:rsidP="00102D9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825F5A" w:rsidP="004543A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4543A4">
              <w:rPr>
                <w:sz w:val="24"/>
                <w:szCs w:val="24"/>
              </w:rPr>
              <w:t xml:space="preserve"> соответствии               с</w:t>
            </w:r>
            <w:r>
              <w:rPr>
                <w:sz w:val="24"/>
                <w:szCs w:val="24"/>
              </w:rPr>
              <w:t xml:space="preserve"> план</w:t>
            </w:r>
            <w:r w:rsidR="004543A4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0F2CC1" w:rsidRPr="000F2CC1" w:rsidRDefault="000F2CC1" w:rsidP="000F2CC1">
            <w:pPr>
              <w:pStyle w:val="a3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2CC1">
              <w:rPr>
                <w:sz w:val="24"/>
                <w:szCs w:val="24"/>
              </w:rPr>
              <w:t xml:space="preserve">омитет рекомендует депутатам областного Собрания депутатов </w:t>
            </w:r>
            <w:r w:rsidRPr="000F2CC1">
              <w:rPr>
                <w:b/>
                <w:sz w:val="24"/>
                <w:szCs w:val="24"/>
              </w:rPr>
              <w:t>принять ежегодный отчет о деятельности контрольно-счетной палаты Архангельской области                 за 2023 год к сведению</w:t>
            </w:r>
            <w:r w:rsidRPr="000F2CC1">
              <w:rPr>
                <w:sz w:val="24"/>
                <w:szCs w:val="24"/>
              </w:rPr>
              <w:t xml:space="preserve">                   и </w:t>
            </w:r>
            <w:r w:rsidRPr="000F2CC1">
              <w:rPr>
                <w:b/>
                <w:sz w:val="24"/>
                <w:szCs w:val="24"/>
              </w:rPr>
              <w:t xml:space="preserve">принять предложенный </w:t>
            </w:r>
            <w:r w:rsidRPr="000F2CC1">
              <w:rPr>
                <w:b/>
                <w:sz w:val="24"/>
                <w:szCs w:val="24"/>
              </w:rPr>
              <w:lastRenderedPageBreak/>
              <w:t>проект постановления</w:t>
            </w:r>
            <w:r w:rsidRPr="000F2CC1">
              <w:rPr>
                <w:sz w:val="24"/>
                <w:szCs w:val="24"/>
              </w:rPr>
              <w:t xml:space="preserve"> на седьмой сессии Архангельского областного Собрания депутатов восьмого созыва.</w:t>
            </w:r>
          </w:p>
          <w:p w:rsidR="003C0AB3" w:rsidRPr="00416A54" w:rsidRDefault="003C0AB3" w:rsidP="00CC36D4">
            <w:pPr>
              <w:jc w:val="both"/>
            </w:pPr>
          </w:p>
        </w:tc>
      </w:tr>
      <w:tr w:rsidR="008351AF" w:rsidRPr="001B3D90" w:rsidTr="00AE4530">
        <w:trPr>
          <w:trHeight w:val="344"/>
        </w:trPr>
        <w:tc>
          <w:tcPr>
            <w:tcW w:w="817" w:type="dxa"/>
          </w:tcPr>
          <w:p w:rsidR="008351AF" w:rsidRDefault="008351A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8351AF" w:rsidRPr="00FB4987" w:rsidRDefault="008351AF" w:rsidP="00A85024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  <w:proofErr w:type="gramStart"/>
            <w:r w:rsidRPr="008A1FFF">
              <w:rPr>
                <w:bCs/>
              </w:rPr>
              <w:t xml:space="preserve">Рассмотрение </w:t>
            </w:r>
            <w:r w:rsidR="00A85024" w:rsidRPr="00870357">
              <w:rPr>
                <w:rFonts w:eastAsiaTheme="minorHAnsi"/>
                <w:bCs/>
                <w:lang w:eastAsia="en-US"/>
              </w:rPr>
              <w:t xml:space="preserve">проекта федерального закона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№ 577665-8 </w:t>
            </w:r>
            <w:r w:rsidR="00A8502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>«О внесении изменений в части первую</w:t>
            </w:r>
            <w:r w:rsidR="00A8502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и вторую Налогового кодекса Российской Федерации и статью 8 Федерального закона </w:t>
            </w:r>
            <w:r w:rsidR="00A8502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            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«О внесении изменений в часть вторую Налогового кодекса Российской Федерации и некоторые другие законодательные акты Российской Федерации, </w:t>
            </w:r>
            <w:r w:rsidR="00A8502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      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а также о признании утратившими силу отдельных законодательных актов (положений законодательных актов) Российской Федерации» </w:t>
            </w:r>
            <w:r w:rsidR="00A8502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   </w:t>
            </w:r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>(в части реализации отдельных положений основных направлений</w:t>
            </w:r>
            <w:proofErr w:type="gramEnd"/>
            <w:r w:rsidR="00A85024" w:rsidRPr="001F04D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налоговой политики)</w:t>
            </w:r>
          </w:p>
        </w:tc>
        <w:tc>
          <w:tcPr>
            <w:tcW w:w="1701" w:type="dxa"/>
          </w:tcPr>
          <w:p w:rsidR="008351AF" w:rsidRDefault="00E92EDF" w:rsidP="003610B8">
            <w:pPr>
              <w:pStyle w:val="af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Правитель</w:t>
            </w:r>
            <w:r w:rsidR="00D364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Российской Федерации</w:t>
            </w:r>
            <w:r w:rsidR="00AF07E4">
              <w:rPr>
                <w:sz w:val="24"/>
                <w:szCs w:val="24"/>
              </w:rPr>
              <w:t>/</w:t>
            </w:r>
          </w:p>
          <w:p w:rsidR="00AF07E4" w:rsidRDefault="00AF07E4" w:rsidP="003610B8">
            <w:pPr>
              <w:pStyle w:val="a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92EDF">
              <w:rPr>
                <w:b w:val="0"/>
                <w:sz w:val="24"/>
                <w:szCs w:val="24"/>
              </w:rPr>
              <w:t xml:space="preserve">Законопроектом предлагается внесение изменений в части совершенствования налогового администрирования таких, как: приведение норм законодательства Российской Федерации о налогах и сборах </w:t>
            </w:r>
            <w:r w:rsidR="00D36440">
              <w:rPr>
                <w:b w:val="0"/>
                <w:sz w:val="24"/>
                <w:szCs w:val="24"/>
              </w:rPr>
              <w:t xml:space="preserve">                  </w:t>
            </w:r>
            <w:r w:rsidRPr="00E92EDF">
              <w:rPr>
                <w:b w:val="0"/>
                <w:sz w:val="24"/>
                <w:szCs w:val="24"/>
              </w:rPr>
              <w:t>в соответствие с положениями законодательства, определяющего принципы организации публичной власти в субъектах Российской Федерации; совершенствование информационного взаимодействия налоговых органов и налогоплательщиков                     при представлении в налоговые органы налоговых деклараций, заявлений                           или иных документов;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совершенствование электронного документооборота между налоговым органом и налогоплательщиком; уточнение оснований для приостановления операций по счетам налогоплательщика </w:t>
            </w:r>
            <w:r w:rsidR="00D36440">
              <w:rPr>
                <w:b w:val="0"/>
                <w:sz w:val="24"/>
                <w:szCs w:val="24"/>
              </w:rPr>
              <w:t xml:space="preserve">                       </w:t>
            </w:r>
            <w:r w:rsidRPr="00E92EDF">
              <w:rPr>
                <w:b w:val="0"/>
                <w:sz w:val="24"/>
                <w:szCs w:val="24"/>
              </w:rPr>
              <w:t>в банке</w:t>
            </w:r>
            <w:r w:rsidR="00D36440">
              <w:rPr>
                <w:b w:val="0"/>
                <w:sz w:val="24"/>
                <w:szCs w:val="24"/>
              </w:rPr>
              <w:t xml:space="preserve"> </w:t>
            </w:r>
            <w:r w:rsidRPr="00E92EDF">
              <w:rPr>
                <w:b w:val="0"/>
                <w:sz w:val="24"/>
                <w:szCs w:val="24"/>
              </w:rPr>
              <w:t xml:space="preserve">при неисполнении налогоплательщиком-организацией обязанности по передаче налоговому органу отдельных документов; оптимизация количества «нулевой» налоговой отчетности; расширение круга потенциальных участников налогового мониторинга; </w:t>
            </w:r>
            <w:proofErr w:type="gramStart"/>
            <w:r w:rsidRPr="00E92EDF">
              <w:rPr>
                <w:b w:val="0"/>
                <w:sz w:val="24"/>
                <w:szCs w:val="24"/>
              </w:rPr>
              <w:t xml:space="preserve">предоставление ФНС России полномочия по утверждению критериев ликвидности имущества, которое может быть предметом залога, и оценке платежеспособности заинтересованного </w:t>
            </w:r>
            <w:r w:rsidR="00A44F14">
              <w:rPr>
                <w:b w:val="0"/>
                <w:sz w:val="24"/>
                <w:szCs w:val="24"/>
              </w:rPr>
              <w:t xml:space="preserve">                       </w:t>
            </w:r>
            <w:r w:rsidRPr="00E92EDF">
              <w:rPr>
                <w:b w:val="0"/>
                <w:sz w:val="24"/>
                <w:szCs w:val="24"/>
              </w:rPr>
              <w:t xml:space="preserve">в изменении срока уплаты налоговых платежей лица; исключение из состава единого налогового платежа                              сумм страховых взносов на </w:t>
            </w:r>
            <w:r w:rsidR="00A44F14">
              <w:rPr>
                <w:b w:val="0"/>
                <w:sz w:val="24"/>
                <w:szCs w:val="24"/>
              </w:rPr>
              <w:t xml:space="preserve">                     </w:t>
            </w:r>
            <w:r w:rsidRPr="00E92EDF">
              <w:rPr>
                <w:b w:val="0"/>
                <w:sz w:val="24"/>
                <w:szCs w:val="24"/>
              </w:rPr>
              <w:t>дополнительное социальное</w:t>
            </w:r>
            <w:r w:rsidR="00A44F14">
              <w:rPr>
                <w:b w:val="0"/>
                <w:sz w:val="24"/>
                <w:szCs w:val="24"/>
              </w:rPr>
              <w:t xml:space="preserve"> </w:t>
            </w:r>
            <w:r w:rsidRPr="00E92EDF">
              <w:rPr>
                <w:b w:val="0"/>
                <w:sz w:val="24"/>
                <w:szCs w:val="24"/>
              </w:rPr>
              <w:t xml:space="preserve">обеспечение                           членов летных экипажей воздушных </w:t>
            </w:r>
            <w:r w:rsidR="00A44F14">
              <w:rPr>
                <w:b w:val="0"/>
                <w:sz w:val="24"/>
                <w:szCs w:val="24"/>
              </w:rPr>
              <w:t xml:space="preserve">                   </w:t>
            </w:r>
            <w:r w:rsidRPr="00E92EDF">
              <w:rPr>
                <w:b w:val="0"/>
                <w:sz w:val="24"/>
                <w:szCs w:val="24"/>
              </w:rPr>
              <w:t xml:space="preserve">судов гражданской авиации,                                           </w:t>
            </w:r>
            <w:r w:rsidRPr="00E92EDF">
              <w:rPr>
                <w:b w:val="0"/>
                <w:sz w:val="24"/>
                <w:szCs w:val="24"/>
              </w:rPr>
              <w:lastRenderedPageBreak/>
              <w:t>а также отдельных категорий работников организаций угольной промышленности;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обеспечение централизованной передачи </w:t>
            </w:r>
            <w:r w:rsidR="00A44F14">
              <w:rPr>
                <w:b w:val="0"/>
                <w:sz w:val="24"/>
                <w:szCs w:val="24"/>
              </w:rPr>
              <w:t xml:space="preserve">                     </w:t>
            </w:r>
            <w:r w:rsidRPr="00E92EDF">
              <w:rPr>
                <w:b w:val="0"/>
                <w:sz w:val="24"/>
                <w:szCs w:val="24"/>
              </w:rPr>
              <w:t xml:space="preserve">в ФНС России сведений о многодетных семьях, признаваемых в соответствии                                                  с законодательством субъектов Российской Федерации для предоставления </w:t>
            </w:r>
            <w:r w:rsidR="00A44F14">
              <w:rPr>
                <w:b w:val="0"/>
                <w:sz w:val="24"/>
                <w:szCs w:val="24"/>
              </w:rPr>
              <w:t xml:space="preserve">                       </w:t>
            </w:r>
            <w:r w:rsidRPr="00E92EDF">
              <w:rPr>
                <w:b w:val="0"/>
                <w:sz w:val="24"/>
                <w:szCs w:val="24"/>
              </w:rPr>
              <w:t>налоговых льгот по имущественным налогам членам многодетных</w:t>
            </w:r>
            <w:r w:rsidR="00A44F14">
              <w:rPr>
                <w:b w:val="0"/>
                <w:sz w:val="24"/>
                <w:szCs w:val="24"/>
              </w:rPr>
              <w:t xml:space="preserve"> </w:t>
            </w:r>
            <w:r w:rsidRPr="00E92EDF">
              <w:rPr>
                <w:b w:val="0"/>
                <w:sz w:val="24"/>
                <w:szCs w:val="24"/>
              </w:rPr>
              <w:t xml:space="preserve"> семей                                               в </w:t>
            </w:r>
            <w:proofErr w:type="spellStart"/>
            <w:r w:rsidRPr="00E92EDF">
              <w:rPr>
                <w:b w:val="0"/>
                <w:sz w:val="24"/>
                <w:szCs w:val="24"/>
              </w:rPr>
              <w:t>беззаявительном</w:t>
            </w:r>
            <w:proofErr w:type="spellEnd"/>
            <w:r w:rsidRPr="00E92EDF">
              <w:rPr>
                <w:b w:val="0"/>
                <w:sz w:val="24"/>
                <w:szCs w:val="24"/>
              </w:rPr>
              <w:t xml:space="preserve"> порядке.  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 xml:space="preserve">Также законопроектом предлагается внести изменения в отдельные положения </w:t>
            </w:r>
            <w:r w:rsidR="00A44F14">
              <w:rPr>
                <w:b w:val="0"/>
                <w:sz w:val="24"/>
                <w:szCs w:val="24"/>
              </w:rPr>
              <w:t xml:space="preserve">                    </w:t>
            </w:r>
            <w:r w:rsidRPr="00E92EDF">
              <w:rPr>
                <w:b w:val="0"/>
                <w:sz w:val="24"/>
                <w:szCs w:val="24"/>
              </w:rPr>
              <w:t xml:space="preserve">по налогу на доходы физических лиц в части: систематизации видов выплат физическим лицам для целей налогообложения, предусмотренных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при увольнении физических лиц; освобождения от налогообложения доходов </w:t>
            </w:r>
            <w:r w:rsidR="00A44F14">
              <w:rPr>
                <w:b w:val="0"/>
                <w:sz w:val="24"/>
                <w:szCs w:val="24"/>
              </w:rPr>
              <w:t xml:space="preserve">               </w:t>
            </w:r>
            <w:r w:rsidRPr="00E92EDF">
              <w:rPr>
                <w:b w:val="0"/>
                <w:sz w:val="24"/>
                <w:szCs w:val="24"/>
              </w:rPr>
              <w:t xml:space="preserve">в виде жилого помещения (земельного участка), полученного бесплатно </w:t>
            </w:r>
            <w:r w:rsidR="00A44F14">
              <w:rPr>
                <w:b w:val="0"/>
                <w:sz w:val="24"/>
                <w:szCs w:val="24"/>
              </w:rPr>
              <w:t xml:space="preserve">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из государственной или муниципальной собственности, а также, когда такое недвижимое имущество получено </w:t>
            </w:r>
            <w:r w:rsidR="00A44F14">
              <w:rPr>
                <w:b w:val="0"/>
                <w:sz w:val="24"/>
                <w:szCs w:val="24"/>
              </w:rPr>
              <w:t xml:space="preserve">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с частичной оплатой; установления особенностей налогообложения доходов от продажи жилых помещений, приобретенных в результате раздела (объединения, выделения, перераспределения) ранее приобретенных жилых помещений, а также исчисление единого срока владения при реализации жилого помещения, приобретенного в собственность семьи </w:t>
            </w:r>
            <w:r w:rsidR="00A44F14">
              <w:rPr>
                <w:b w:val="0"/>
                <w:sz w:val="24"/>
                <w:szCs w:val="24"/>
              </w:rPr>
              <w:t xml:space="preserve">                      </w:t>
            </w:r>
            <w:r w:rsidRPr="00E92EDF">
              <w:rPr>
                <w:b w:val="0"/>
                <w:sz w:val="24"/>
                <w:szCs w:val="24"/>
              </w:rPr>
              <w:lastRenderedPageBreak/>
              <w:t xml:space="preserve">с использованием средств бюджетов бюджетной системы Российской Федерации; предоставления законодательным органам субъектов Российской Федерации права уменьшать минимальный предельный срок владения объектами недвижимого имущества                      для целей налогообложения независимо </w:t>
            </w:r>
            <w:r w:rsidR="00A44F14">
              <w:rPr>
                <w:b w:val="0"/>
                <w:sz w:val="24"/>
                <w:szCs w:val="24"/>
              </w:rPr>
              <w:t xml:space="preserve">                 </w:t>
            </w:r>
            <w:r w:rsidRPr="00E92EDF">
              <w:rPr>
                <w:b w:val="0"/>
                <w:sz w:val="24"/>
                <w:szCs w:val="24"/>
              </w:rPr>
              <w:t xml:space="preserve">от оснований их приобретения;  распространения права на социальный налоговый вычет на расходы, произведенные на оплату медицинских услуг, оказанных детям (подопечным), признанным судом недееспособными, без ограничения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</w:t>
            </w:r>
            <w:r w:rsidRPr="00E92EDF">
              <w:rPr>
                <w:b w:val="0"/>
                <w:sz w:val="24"/>
                <w:szCs w:val="24"/>
              </w:rPr>
              <w:t>по возрасту; исключения доходов в виде процентов, рассчитанных как произведение одного миллиона рублей и ключевой ставки Банка России при определении налоговой базы в отношении доходов в виде процентов по вкладам (остаткам на счетах) в банках.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92EDF">
              <w:rPr>
                <w:b w:val="0"/>
                <w:sz w:val="24"/>
                <w:szCs w:val="24"/>
              </w:rPr>
              <w:t>Законопроектом предлагается внести изменения в отдельные положения                        по налогу на прибыль организаций в части: применения нулевой ставки по налогу                на прибыль организаций при реализации акций (долей участия) исключив требование о выполнении условия о составе активов эмитента (не более 50 % недвижимого имущества, находящегося на территории Российской Федерации) в отношении операций по реализации сравнительно небольших пакетов обращающихся акций;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92EDF">
              <w:rPr>
                <w:b w:val="0"/>
                <w:sz w:val="24"/>
                <w:szCs w:val="24"/>
              </w:rPr>
              <w:t xml:space="preserve">установления временной нормы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(до 31.12.2026 г.), предусматривающей учет доходов в виде санкций, присужденных после 05.03.2022 г. судом к взысканию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с иностранных организаций, расположенных                           </w:t>
            </w:r>
            <w:r w:rsidRPr="00E92EDF">
              <w:rPr>
                <w:b w:val="0"/>
                <w:sz w:val="24"/>
                <w:szCs w:val="24"/>
              </w:rPr>
              <w:lastRenderedPageBreak/>
              <w:t xml:space="preserve">в недружественных странах, а также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с российских организаций, являющихся солидарными ответчиками этих иностранных организаций, по мере поступления денежных средств (имущества, имущественных прав) </w:t>
            </w:r>
            <w:r w:rsidR="00023DE3">
              <w:rPr>
                <w:b w:val="0"/>
                <w:sz w:val="24"/>
                <w:szCs w:val="24"/>
              </w:rPr>
              <w:t xml:space="preserve">                        </w:t>
            </w:r>
            <w:r w:rsidRPr="00E92EDF">
              <w:rPr>
                <w:b w:val="0"/>
                <w:sz w:val="24"/>
                <w:szCs w:val="24"/>
              </w:rPr>
              <w:t>и одновременно установления «зеркальной» нормы в отношении соответствующих расходов российских организаций, являющихся солидарными ответчиками этих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иностранных организаций; применения пониженных ставок по налогу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на прибыль организаций как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российскими организациями, осуществляющими деятельность в области информационных технологий, так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   </w:t>
            </w:r>
            <w:r w:rsidRPr="00E92EDF">
              <w:rPr>
                <w:b w:val="0"/>
                <w:sz w:val="24"/>
                <w:szCs w:val="24"/>
              </w:rPr>
              <w:t>и российскими организациями, включенными в реестр организаций, осуществляющих деятельность в сфере радиоэлектронной промышленности, ограничения круга лиц, входящих в одну группу лиц с той или иной организацией, только российскими лицами.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 xml:space="preserve">Законопроектом предлагается внести изменения в отдельные положения                        по налогу на добычу полезных ископаемых </w:t>
            </w:r>
            <w:r w:rsidR="00023DE3">
              <w:rPr>
                <w:b w:val="0"/>
                <w:sz w:val="24"/>
                <w:szCs w:val="24"/>
              </w:rPr>
              <w:t xml:space="preserve">                   </w:t>
            </w:r>
            <w:r w:rsidRPr="00E92EDF">
              <w:rPr>
                <w:b w:val="0"/>
                <w:sz w:val="24"/>
                <w:szCs w:val="24"/>
              </w:rPr>
              <w:t xml:space="preserve">в части: установления возможности применения рентного коэффициента </w:t>
            </w:r>
            <w:r w:rsidR="00023DE3">
              <w:rPr>
                <w:b w:val="0"/>
                <w:sz w:val="24"/>
                <w:szCs w:val="24"/>
              </w:rPr>
              <w:t xml:space="preserve">                                        </w:t>
            </w:r>
            <w:r w:rsidRPr="00E92EDF">
              <w:rPr>
                <w:b w:val="0"/>
                <w:sz w:val="24"/>
                <w:szCs w:val="24"/>
              </w:rPr>
              <w:t>(</w:t>
            </w:r>
            <w:proofErr w:type="gramStart"/>
            <w:r w:rsidRPr="00E92EDF">
              <w:rPr>
                <w:b w:val="0"/>
                <w:sz w:val="24"/>
                <w:szCs w:val="24"/>
              </w:rPr>
              <w:t>К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рента) при исчислении налога на добычу полезных ископаемых в отношении концентратов и других полупродуктов, содержащих платину и металлы платиновой группы.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 xml:space="preserve">Законопроектом предлагается внести изменения в отдельные положения                        по имущественным налогам в части: определения правил перерасчета ранее исчисленных физическим лицам </w:t>
            </w:r>
            <w:r w:rsidRPr="00E92EDF">
              <w:rPr>
                <w:b w:val="0"/>
                <w:sz w:val="24"/>
                <w:szCs w:val="24"/>
              </w:rPr>
              <w:lastRenderedPageBreak/>
              <w:t xml:space="preserve">имущественных налогов и сроков уплаты налогов, рассчитанных по результатам перерасчета; </w:t>
            </w:r>
            <w:proofErr w:type="gramStart"/>
            <w:r w:rsidRPr="00E92EDF">
              <w:rPr>
                <w:b w:val="0"/>
                <w:sz w:val="24"/>
                <w:szCs w:val="24"/>
              </w:rPr>
              <w:t xml:space="preserve">приведения положений Федерального закона от 29 ноября 2004 года № 141-ФЗ «О внесении изменений                         в часть вторую Налогового кодекса Российской Федерации и некоторые другие законодательные акты Российской Федерации, а также о признании                           утратившими силу отдельных законодательных актов (положений законодательных актов) Российской Федерации» в соответствие с Федеральным законом от 13 июля 2015 года № 218-ФЗ </w:t>
            </w:r>
            <w:r w:rsidR="00023DE3">
              <w:rPr>
                <w:b w:val="0"/>
                <w:sz w:val="24"/>
                <w:szCs w:val="24"/>
              </w:rPr>
              <w:t xml:space="preserve">                     </w:t>
            </w:r>
            <w:r w:rsidRPr="00E92EDF">
              <w:rPr>
                <w:b w:val="0"/>
                <w:sz w:val="24"/>
                <w:szCs w:val="24"/>
              </w:rPr>
              <w:t>«О государственной регистрации недвижимости».</w:t>
            </w:r>
            <w:proofErr w:type="gramEnd"/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92EDF">
              <w:rPr>
                <w:b w:val="0"/>
                <w:sz w:val="24"/>
                <w:szCs w:val="24"/>
              </w:rPr>
              <w:t>Законопроектом предлагается внести изменения в части совершенствования специальных налоговых режимов: в целях снижения налоговой нагрузки                               из состава доходов при применении единого сельскохозяйственного</w:t>
            </w:r>
            <w:r w:rsidR="00023DE3">
              <w:rPr>
                <w:b w:val="0"/>
                <w:sz w:val="24"/>
                <w:szCs w:val="24"/>
              </w:rPr>
              <w:t xml:space="preserve"> </w:t>
            </w:r>
            <w:r w:rsidRPr="00E92EDF">
              <w:rPr>
                <w:b w:val="0"/>
                <w:sz w:val="24"/>
                <w:szCs w:val="24"/>
              </w:rPr>
              <w:t>налога                         и упрощенной системы налогообложения исключения доходов в виде сумм возмещения, полученных за изъятие земельных участков и (или) расположенных на них объектов недвижимого имущества для государственных и муниципальных нужд;</w:t>
            </w:r>
            <w:proofErr w:type="gramEnd"/>
            <w:r w:rsidRPr="00E92EDF">
              <w:rPr>
                <w:b w:val="0"/>
                <w:sz w:val="24"/>
                <w:szCs w:val="24"/>
              </w:rPr>
              <w:t xml:space="preserve"> уточнения порядка применения повышенных                       налоговых ставок (8 % и 20 %) начиная </w:t>
            </w:r>
            <w:r w:rsidR="006104F1">
              <w:rPr>
                <w:b w:val="0"/>
                <w:sz w:val="24"/>
                <w:szCs w:val="24"/>
              </w:rPr>
              <w:t xml:space="preserve">                        </w:t>
            </w:r>
            <w:r w:rsidRPr="00E92EDF">
              <w:rPr>
                <w:b w:val="0"/>
                <w:sz w:val="24"/>
                <w:szCs w:val="24"/>
              </w:rPr>
              <w:t xml:space="preserve">с отчетного периода, в котором                       допущено превышение доходов, </w:t>
            </w:r>
            <w:r w:rsidR="006104F1">
              <w:rPr>
                <w:b w:val="0"/>
                <w:sz w:val="24"/>
                <w:szCs w:val="24"/>
              </w:rPr>
              <w:t xml:space="preserve">                                     </w:t>
            </w:r>
            <w:r w:rsidRPr="00E92EDF">
              <w:rPr>
                <w:b w:val="0"/>
                <w:sz w:val="24"/>
                <w:szCs w:val="24"/>
              </w:rPr>
              <w:t>до окончания налогового (отчетного) периода для налогоплательщиков, уплачивающих налог в связи с применением упрощенной системы налогообложения.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lastRenderedPageBreak/>
              <w:t xml:space="preserve">Законопроектом предлагается внести изменения в отдельные положения                        в части страховых взносов: уточнения сроков направления в налоговые органы плательщиками страховых взносов, </w:t>
            </w:r>
            <w:r w:rsidR="006104F1">
              <w:rPr>
                <w:b w:val="0"/>
                <w:sz w:val="24"/>
                <w:szCs w:val="24"/>
              </w:rPr>
              <w:t xml:space="preserve">                                         </w:t>
            </w:r>
            <w:r w:rsidRPr="00E92EDF">
              <w:rPr>
                <w:b w:val="0"/>
                <w:sz w:val="24"/>
                <w:szCs w:val="24"/>
              </w:rPr>
              <w:t>не осуществляющими деятельность в течение отдельных «</w:t>
            </w:r>
            <w:proofErr w:type="spellStart"/>
            <w:r w:rsidRPr="00E92EDF">
              <w:rPr>
                <w:b w:val="0"/>
                <w:sz w:val="24"/>
                <w:szCs w:val="24"/>
              </w:rPr>
              <w:t>нестраховых</w:t>
            </w:r>
            <w:proofErr w:type="spellEnd"/>
            <w:r w:rsidRPr="00E92EDF">
              <w:rPr>
                <w:b w:val="0"/>
                <w:sz w:val="24"/>
                <w:szCs w:val="24"/>
              </w:rPr>
              <w:t xml:space="preserve">» периодов, заявления об освобождении от уплаты страховых взносов за указанные периоды </w:t>
            </w:r>
            <w:r w:rsidR="006104F1">
              <w:rPr>
                <w:b w:val="0"/>
                <w:sz w:val="24"/>
                <w:szCs w:val="24"/>
              </w:rPr>
              <w:t xml:space="preserve">                          </w:t>
            </w:r>
            <w:r w:rsidRPr="00E92EDF">
              <w:rPr>
                <w:b w:val="0"/>
                <w:sz w:val="24"/>
                <w:szCs w:val="24"/>
              </w:rPr>
              <w:t>и подтверждающих эти периоды документов; уточнения порядка определения размера дохода для целей уплаты страховых взносов индивидуальными предпринимателями, адвокатами, нотариусами и иными лицами, занимающимися частной практикой, уплачивающими налог на доходы физических лиц.</w:t>
            </w:r>
          </w:p>
          <w:p w:rsidR="00E92EDF" w:rsidRPr="00E92EDF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 xml:space="preserve">Правительство Архангельской области </w:t>
            </w:r>
            <w:r w:rsidR="006104F1">
              <w:rPr>
                <w:b w:val="0"/>
                <w:sz w:val="24"/>
                <w:szCs w:val="24"/>
              </w:rPr>
              <w:t xml:space="preserve">                   </w:t>
            </w:r>
            <w:r w:rsidRPr="00E92EDF">
              <w:rPr>
                <w:b w:val="0"/>
                <w:sz w:val="24"/>
                <w:szCs w:val="24"/>
              </w:rPr>
              <w:t xml:space="preserve">и Управление Федеральной налоговой службы России по Архангельской области </w:t>
            </w:r>
            <w:r w:rsidR="006104F1">
              <w:rPr>
                <w:b w:val="0"/>
                <w:sz w:val="24"/>
                <w:szCs w:val="24"/>
              </w:rPr>
              <w:t xml:space="preserve">                    </w:t>
            </w:r>
            <w:r w:rsidRPr="00E92EDF">
              <w:rPr>
                <w:b w:val="0"/>
                <w:sz w:val="24"/>
                <w:szCs w:val="24"/>
              </w:rPr>
              <w:t xml:space="preserve">и Ненецкому автономному округу к проекту федерального закона замечаний </w:t>
            </w:r>
            <w:r w:rsidR="006104F1">
              <w:rPr>
                <w:b w:val="0"/>
                <w:sz w:val="24"/>
                <w:szCs w:val="24"/>
              </w:rPr>
              <w:t xml:space="preserve">                                            </w:t>
            </w:r>
            <w:r w:rsidRPr="00E92EDF">
              <w:rPr>
                <w:b w:val="0"/>
                <w:sz w:val="24"/>
                <w:szCs w:val="24"/>
              </w:rPr>
              <w:t xml:space="preserve">и предложений не имеет. </w:t>
            </w:r>
          </w:p>
          <w:p w:rsidR="00912B83" w:rsidRDefault="00E92EDF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E92EDF">
              <w:rPr>
                <w:b w:val="0"/>
                <w:sz w:val="24"/>
                <w:szCs w:val="24"/>
              </w:rPr>
              <w:t>В Государственную Думу Федерального Собрания Российской Федерации направлен положительный отзыв Губернатора Архангельской области на проект федерального закона.</w:t>
            </w:r>
          </w:p>
          <w:p w:rsidR="006104F1" w:rsidRDefault="006104F1" w:rsidP="00E92EDF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1AF" w:rsidRDefault="00C44A7C" w:rsidP="004543A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6104F1" w:rsidRPr="006104F1" w:rsidRDefault="006104F1" w:rsidP="00263D21">
            <w:pPr>
              <w:ind w:firstLine="317"/>
              <w:jc w:val="both"/>
            </w:pPr>
            <w:proofErr w:type="gramStart"/>
            <w:r>
              <w:t>К</w:t>
            </w:r>
            <w:r w:rsidRPr="006104F1">
              <w:t xml:space="preserve">омитет рекомендует депутатам областного Собрания депутатов </w:t>
            </w:r>
            <w:r w:rsidRPr="00AF07E4">
              <w:rPr>
                <w:b/>
              </w:rPr>
              <w:t xml:space="preserve">поддержать </w:t>
            </w:r>
            <w:r w:rsidR="00AF07E4">
              <w:rPr>
                <w:b/>
              </w:rPr>
              <w:t xml:space="preserve">                         </w:t>
            </w:r>
            <w:r w:rsidRPr="00A82C05">
              <w:t>на седьмой сессии Архангельского областного Собрания депутатов</w:t>
            </w:r>
            <w:r w:rsidRPr="00AF07E4">
              <w:rPr>
                <w:b/>
              </w:rPr>
              <w:t xml:space="preserve"> принятие проекта федерального </w:t>
            </w:r>
            <w:r w:rsidR="00AF07E4">
              <w:rPr>
                <w:b/>
              </w:rPr>
              <w:t xml:space="preserve">                </w:t>
            </w:r>
            <w:r w:rsidRPr="00AF07E4">
              <w:rPr>
                <w:b/>
              </w:rPr>
              <w:t>закона № 577665-8</w:t>
            </w:r>
            <w:r w:rsidRPr="006104F1">
              <w:t xml:space="preserve">                               «О внесении изменений в части первую и вторую Налогового кодекса Российской Федерации и статью 8 Федерального закона «О внесении изменений в часть вторую Налогового кодекса Российской Федерации </w:t>
            </w:r>
            <w:r w:rsidR="00AF07E4">
              <w:t xml:space="preserve">                           </w:t>
            </w:r>
            <w:r w:rsidRPr="006104F1">
              <w:t>и некоторые другие законодательные акты Российской Федерации, а также о признании утратившими силу отдельных</w:t>
            </w:r>
            <w:proofErr w:type="gramEnd"/>
            <w:r w:rsidRPr="006104F1">
              <w:t xml:space="preserve"> законодательных актов (положений законодательных актов) Российской Федерации»</w:t>
            </w:r>
          </w:p>
          <w:p w:rsidR="008351AF" w:rsidRDefault="008351AF" w:rsidP="00912B83">
            <w:pPr>
              <w:jc w:val="both"/>
            </w:pPr>
          </w:p>
        </w:tc>
      </w:tr>
      <w:tr w:rsidR="00497821" w:rsidRPr="001B3D90" w:rsidTr="00AE4530">
        <w:trPr>
          <w:trHeight w:val="344"/>
        </w:trPr>
        <w:tc>
          <w:tcPr>
            <w:tcW w:w="817" w:type="dxa"/>
          </w:tcPr>
          <w:p w:rsidR="00497821" w:rsidRDefault="005A415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45652D" w:rsidRPr="0045652D" w:rsidRDefault="005A4156" w:rsidP="004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45652D">
              <w:rPr>
                <w:rFonts w:eastAsiaTheme="minorHAnsi"/>
                <w:bCs/>
                <w:lang w:eastAsia="en-US"/>
              </w:rPr>
              <w:t xml:space="preserve">Рассмотрение проекта федерального закона </w:t>
            </w:r>
            <w:r w:rsidR="0045652D" w:rsidRPr="0045652D">
              <w:rPr>
                <w:rFonts w:eastAsiaTheme="minorHAnsi"/>
                <w:bCs/>
                <w:szCs w:val="28"/>
                <w:lang w:eastAsia="en-US"/>
              </w:rPr>
              <w:t xml:space="preserve">№ </w:t>
            </w:r>
            <w:r w:rsidR="0045652D" w:rsidRPr="0045652D">
              <w:rPr>
                <w:rFonts w:eastAsiaTheme="minorHAnsi"/>
                <w:b/>
                <w:bCs/>
                <w:szCs w:val="28"/>
                <w:lang w:eastAsia="en-US"/>
              </w:rPr>
              <w:t>566208-8</w:t>
            </w:r>
            <w:r w:rsidR="0045652D" w:rsidRPr="0045652D">
              <w:rPr>
                <w:rFonts w:eastAsiaTheme="minorHAnsi"/>
                <w:bCs/>
                <w:szCs w:val="28"/>
                <w:lang w:eastAsia="en-US"/>
              </w:rPr>
              <w:t xml:space="preserve">                                «О внесении изменений                        в Бюджетный кодекс Российской </w:t>
            </w:r>
            <w:r w:rsidR="0045652D" w:rsidRPr="0045652D">
              <w:rPr>
                <w:rFonts w:eastAsiaTheme="minorHAnsi"/>
                <w:bCs/>
                <w:szCs w:val="28"/>
                <w:lang w:eastAsia="en-US"/>
              </w:rPr>
              <w:lastRenderedPageBreak/>
              <w:t>Федерации»                  (в части расширения перечня операций, доступных казенным учреждениям и участникам казначейского сопровождения                          при заблокированном счете) – вносит Государственный Совет Республики Коми</w:t>
            </w:r>
          </w:p>
          <w:p w:rsidR="00497821" w:rsidRPr="008A1FFF" w:rsidRDefault="00497821" w:rsidP="00AF07E4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883404" w:rsidRDefault="0032275C" w:rsidP="0032275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5652D">
              <w:rPr>
                <w:rFonts w:eastAsiaTheme="minorHAnsi"/>
                <w:bCs/>
                <w:szCs w:val="28"/>
                <w:lang w:eastAsia="en-US"/>
              </w:rPr>
              <w:lastRenderedPageBreak/>
              <w:t>Государствен</w:t>
            </w:r>
            <w:r>
              <w:rPr>
                <w:rFonts w:eastAsiaTheme="minorHAnsi"/>
                <w:bCs/>
                <w:szCs w:val="28"/>
                <w:lang w:eastAsia="en-US"/>
              </w:rPr>
              <w:t>-</w:t>
            </w:r>
            <w:r w:rsidRPr="0045652D">
              <w:rPr>
                <w:rFonts w:eastAsiaTheme="minorHAnsi"/>
                <w:bCs/>
                <w:szCs w:val="28"/>
                <w:lang w:eastAsia="en-US"/>
              </w:rPr>
              <w:t>ный</w:t>
            </w:r>
            <w:proofErr w:type="spellEnd"/>
            <w:proofErr w:type="gramEnd"/>
            <w:r w:rsidRPr="0045652D">
              <w:rPr>
                <w:rFonts w:eastAsiaTheme="minorHAnsi"/>
                <w:bCs/>
                <w:szCs w:val="28"/>
                <w:lang w:eastAsia="en-US"/>
              </w:rPr>
              <w:t xml:space="preserve"> Совет Республики Коми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 w:rsidR="00883404">
              <w:t>/</w:t>
            </w:r>
          </w:p>
          <w:p w:rsidR="005A4156" w:rsidRDefault="005A4156" w:rsidP="0032275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</w:t>
            </w:r>
            <w:r w:rsidR="0032275C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Законопроектом предлагается расширить перечень операций, доступных </w:t>
            </w:r>
            <w:r w:rsidR="00263D21">
              <w:rPr>
                <w:b w:val="0"/>
                <w:sz w:val="24"/>
                <w:szCs w:val="24"/>
              </w:rPr>
              <w:t xml:space="preserve">                       </w:t>
            </w:r>
            <w:r w:rsidRPr="00984DC5">
              <w:rPr>
                <w:b w:val="0"/>
                <w:sz w:val="24"/>
                <w:szCs w:val="24"/>
              </w:rPr>
              <w:t xml:space="preserve">казенным учреждениям, а также </w:t>
            </w:r>
            <w:r w:rsidR="002667ED">
              <w:rPr>
                <w:b w:val="0"/>
                <w:sz w:val="24"/>
                <w:szCs w:val="24"/>
              </w:rPr>
              <w:t xml:space="preserve">                                  </w:t>
            </w:r>
            <w:r w:rsidRPr="00984DC5">
              <w:rPr>
                <w:b w:val="0"/>
                <w:sz w:val="24"/>
                <w:szCs w:val="24"/>
              </w:rPr>
              <w:t>участникам казначейского сопровождения                     при заблокированном лицевом счете.</w:t>
            </w:r>
          </w:p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84DC5">
              <w:rPr>
                <w:b w:val="0"/>
                <w:sz w:val="24"/>
                <w:szCs w:val="24"/>
              </w:rPr>
              <w:t xml:space="preserve">В целях обеспечения своевременной реализации трудовых прав и гарантий </w:t>
            </w:r>
            <w:r w:rsidRPr="00984DC5">
              <w:rPr>
                <w:b w:val="0"/>
                <w:sz w:val="24"/>
                <w:szCs w:val="24"/>
              </w:rPr>
              <w:lastRenderedPageBreak/>
              <w:t>работников законопроектом предлагается перечень операций, доступных казенным учреждениям, а также участникам казначейского сопровождения                      при заблокированном счете, дополнить операциями по перечислению или выдаче денежных средств для расчетов по выплате компенсаций расходов на оплату стоимости проезда и провоза багажа к месту использования отпуска и обратно, расходов, связанных с переездом, лицам, работающим в организациях</w:t>
            </w:r>
            <w:proofErr w:type="gramEnd"/>
            <w:r w:rsidRPr="00984DC5">
              <w:rPr>
                <w:b w:val="0"/>
                <w:sz w:val="24"/>
                <w:szCs w:val="24"/>
              </w:rPr>
              <w:t>, расположенных в районах Крайнего Севера и приравненных к ним местностях.</w:t>
            </w:r>
          </w:p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84DC5">
              <w:rPr>
                <w:b w:val="0"/>
                <w:sz w:val="24"/>
                <w:szCs w:val="24"/>
              </w:rPr>
              <w:t xml:space="preserve">В соответствии с Трудовым </w:t>
            </w:r>
            <w:r w:rsidR="002667ED">
              <w:rPr>
                <w:b w:val="0"/>
                <w:sz w:val="24"/>
                <w:szCs w:val="24"/>
              </w:rPr>
              <w:t xml:space="preserve">                       </w:t>
            </w:r>
            <w:r w:rsidRPr="00984DC5">
              <w:rPr>
                <w:b w:val="0"/>
                <w:sz w:val="24"/>
                <w:szCs w:val="24"/>
              </w:rPr>
              <w:t>кодексом Российской</w:t>
            </w:r>
            <w:r w:rsidR="002667ED">
              <w:rPr>
                <w:b w:val="0"/>
                <w:sz w:val="24"/>
                <w:szCs w:val="24"/>
              </w:rPr>
              <w:t xml:space="preserve"> </w:t>
            </w:r>
            <w:r w:rsidRPr="00984DC5">
              <w:rPr>
                <w:b w:val="0"/>
                <w:sz w:val="24"/>
                <w:szCs w:val="24"/>
              </w:rPr>
              <w:t xml:space="preserve">Федерации                                     (далее – ТК РФ) за лицами, работающими </w:t>
            </w:r>
            <w:r w:rsidR="002667ED">
              <w:rPr>
                <w:b w:val="0"/>
                <w:sz w:val="24"/>
                <w:szCs w:val="24"/>
              </w:rPr>
              <w:t xml:space="preserve">                   </w:t>
            </w:r>
            <w:r w:rsidRPr="00984DC5">
              <w:rPr>
                <w:b w:val="0"/>
                <w:sz w:val="24"/>
                <w:szCs w:val="24"/>
              </w:rPr>
              <w:t>в организациях,</w:t>
            </w:r>
            <w:r w:rsidR="002667ED">
              <w:rPr>
                <w:b w:val="0"/>
                <w:sz w:val="24"/>
                <w:szCs w:val="24"/>
              </w:rPr>
              <w:t xml:space="preserve"> </w:t>
            </w:r>
            <w:r w:rsidRPr="00984DC5">
              <w:rPr>
                <w:b w:val="0"/>
                <w:sz w:val="24"/>
                <w:szCs w:val="24"/>
              </w:rPr>
              <w:t xml:space="preserve">расположенных                           в районах Крайнего Севера и приравненных </w:t>
            </w:r>
            <w:r w:rsidR="002667ED">
              <w:rPr>
                <w:b w:val="0"/>
                <w:sz w:val="24"/>
                <w:szCs w:val="24"/>
              </w:rPr>
              <w:t xml:space="preserve">          </w:t>
            </w:r>
            <w:r w:rsidRPr="00984DC5">
              <w:rPr>
                <w:b w:val="0"/>
                <w:sz w:val="24"/>
                <w:szCs w:val="24"/>
              </w:rPr>
              <w:t xml:space="preserve">к ним местностях, закреплено право </w:t>
            </w:r>
            <w:r w:rsidR="002667ED">
              <w:rPr>
                <w:b w:val="0"/>
                <w:sz w:val="24"/>
                <w:szCs w:val="24"/>
              </w:rPr>
              <w:t xml:space="preserve">                          </w:t>
            </w:r>
            <w:r w:rsidRPr="00984DC5">
              <w:rPr>
                <w:b w:val="0"/>
                <w:sz w:val="24"/>
                <w:szCs w:val="24"/>
              </w:rPr>
              <w:t xml:space="preserve">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</w:t>
            </w:r>
            <w:r w:rsidR="002667ED">
              <w:rPr>
                <w:b w:val="0"/>
                <w:sz w:val="24"/>
                <w:szCs w:val="24"/>
              </w:rPr>
              <w:t xml:space="preserve">                  </w:t>
            </w:r>
            <w:r w:rsidRPr="00984DC5">
              <w:rPr>
                <w:b w:val="0"/>
                <w:sz w:val="24"/>
                <w:szCs w:val="24"/>
              </w:rPr>
              <w:t>и обратно (статья 325 ТК РФ), за лицами</w:t>
            </w:r>
            <w:proofErr w:type="gramEnd"/>
            <w:r w:rsidRPr="00984DC5">
              <w:rPr>
                <w:b w:val="0"/>
                <w:sz w:val="24"/>
                <w:szCs w:val="24"/>
              </w:rPr>
              <w:t xml:space="preserve">, заключившими трудовые договоры о работе </w:t>
            </w:r>
            <w:r w:rsidR="002667ED">
              <w:rPr>
                <w:b w:val="0"/>
                <w:sz w:val="24"/>
                <w:szCs w:val="24"/>
              </w:rPr>
              <w:t xml:space="preserve">                 </w:t>
            </w:r>
            <w:r w:rsidRPr="00984DC5">
              <w:rPr>
                <w:b w:val="0"/>
                <w:sz w:val="24"/>
                <w:szCs w:val="24"/>
              </w:rPr>
              <w:t>в организациях, расположенных в районах Крайнего Севера и приравненных к ним местностях ‒ компенсация расходов, связанных с переездом к месту работы (статья 326 ТК РФ).</w:t>
            </w:r>
          </w:p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Выплата компенсаций производится </w:t>
            </w:r>
            <w:r w:rsidR="002667ED">
              <w:rPr>
                <w:b w:val="0"/>
                <w:sz w:val="24"/>
                <w:szCs w:val="24"/>
              </w:rPr>
              <w:t xml:space="preserve">                         </w:t>
            </w:r>
            <w:r w:rsidRPr="00984DC5">
              <w:rPr>
                <w:b w:val="0"/>
                <w:sz w:val="24"/>
                <w:szCs w:val="24"/>
              </w:rPr>
              <w:t xml:space="preserve">за счет средств работодателя                         (статья 165 ТК РФ). При этом невыплата или неполная выплата в установленный срок заработной платы, других выплат, </w:t>
            </w:r>
            <w:r w:rsidRPr="00984DC5">
              <w:rPr>
                <w:b w:val="0"/>
                <w:sz w:val="24"/>
                <w:szCs w:val="24"/>
              </w:rPr>
              <w:lastRenderedPageBreak/>
              <w:t>осуществляемых в рамках трудовых отношений, влечет гражданско-правовую, административную и уголовную ответственность.</w:t>
            </w:r>
          </w:p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На практике в силу ряда причин (несвоевременное перечисление бюджетных средств, приостановление осуществления операций по расходованию средств                   на всех лицевых счетах должника) происходит задержка выплаты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Pr="00984DC5">
              <w:rPr>
                <w:b w:val="0"/>
                <w:sz w:val="24"/>
                <w:szCs w:val="24"/>
              </w:rPr>
              <w:t>компенсаций, предусмотренных трудовым законодательством.</w:t>
            </w:r>
          </w:p>
          <w:p w:rsidR="00984DC5" w:rsidRPr="00984DC5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Согласно пояснительной записке </w:t>
            </w: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Pr="00984DC5">
              <w:rPr>
                <w:b w:val="0"/>
                <w:sz w:val="24"/>
                <w:szCs w:val="24"/>
              </w:rPr>
              <w:t xml:space="preserve">к законопроекту субъектами Российской Федерации, входящими в Парламентскую Ассоциацию </w:t>
            </w:r>
            <w:proofErr w:type="spellStart"/>
            <w:r w:rsidRPr="00984DC5">
              <w:rPr>
                <w:b w:val="0"/>
                <w:sz w:val="24"/>
                <w:szCs w:val="24"/>
              </w:rPr>
              <w:t>Северо-Запада</w:t>
            </w:r>
            <w:proofErr w:type="spellEnd"/>
            <w:r w:rsidRPr="00984DC5">
              <w:rPr>
                <w:b w:val="0"/>
                <w:sz w:val="24"/>
                <w:szCs w:val="24"/>
              </w:rPr>
              <w:t xml:space="preserve"> России, поддержана данная законодательная инициатива Государственного Совета Республики Коми о принятии проекта федерального закона «О внесении изменений в Бюджетный кодекс Российской Федерации» (решение от 26 октября 2023 года № 64/4).</w:t>
            </w:r>
          </w:p>
          <w:p w:rsidR="00497821" w:rsidRDefault="00984DC5" w:rsidP="00984DC5">
            <w:pPr>
              <w:pStyle w:val="ConsPlusTitle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984DC5">
              <w:rPr>
                <w:b w:val="0"/>
                <w:sz w:val="24"/>
                <w:szCs w:val="24"/>
              </w:rPr>
              <w:t xml:space="preserve">Губернатором Архангельской области подготовлен отзыв на проект федерального закона об отсутствии замечаний </w:t>
            </w:r>
            <w:r>
              <w:rPr>
                <w:b w:val="0"/>
                <w:sz w:val="24"/>
                <w:szCs w:val="24"/>
              </w:rPr>
              <w:t xml:space="preserve">                                         </w:t>
            </w:r>
            <w:r w:rsidRPr="00984DC5">
              <w:rPr>
                <w:b w:val="0"/>
                <w:sz w:val="24"/>
                <w:szCs w:val="24"/>
              </w:rPr>
              <w:t xml:space="preserve">и предложений к концепции проекта федерального закона.  </w:t>
            </w:r>
          </w:p>
        </w:tc>
        <w:tc>
          <w:tcPr>
            <w:tcW w:w="1843" w:type="dxa"/>
          </w:tcPr>
          <w:p w:rsidR="00497821" w:rsidRDefault="005E1FC9" w:rsidP="00CF600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F6007">
              <w:rPr>
                <w:sz w:val="24"/>
                <w:szCs w:val="24"/>
              </w:rPr>
              <w:t xml:space="preserve"> соответствии             с</w:t>
            </w:r>
            <w:r>
              <w:rPr>
                <w:sz w:val="24"/>
                <w:szCs w:val="24"/>
              </w:rPr>
              <w:t xml:space="preserve"> план</w:t>
            </w:r>
            <w:r w:rsidR="00CF600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263D21" w:rsidRPr="00263D21" w:rsidRDefault="00263D21" w:rsidP="00263D21">
            <w:pPr>
              <w:ind w:firstLine="317"/>
              <w:jc w:val="both"/>
            </w:pPr>
            <w:r>
              <w:t>К</w:t>
            </w:r>
            <w:r w:rsidRPr="00263D21">
              <w:t xml:space="preserve">омитет рекомендует депутатам областного Собрания депутатов </w:t>
            </w:r>
            <w:r w:rsidRPr="00A82C05">
              <w:rPr>
                <w:b/>
              </w:rPr>
              <w:t>поддержать</w:t>
            </w:r>
            <w:r w:rsidRPr="00263D21">
              <w:t xml:space="preserve"> </w:t>
            </w:r>
            <w:r w:rsidR="00A82C05">
              <w:t xml:space="preserve">                           </w:t>
            </w:r>
            <w:r w:rsidRPr="00263D21">
              <w:t xml:space="preserve">на седьмой сессии Архангельского областного Собрания депутатов </w:t>
            </w:r>
            <w:r w:rsidRPr="00A82C05">
              <w:rPr>
                <w:b/>
              </w:rPr>
              <w:t>принятие проекта федерального</w:t>
            </w:r>
            <w:r w:rsidRPr="00263D21">
              <w:t xml:space="preserve"> </w:t>
            </w:r>
            <w:r w:rsidR="00A82C05">
              <w:t xml:space="preserve">                     </w:t>
            </w:r>
            <w:r w:rsidRPr="00A82C05">
              <w:rPr>
                <w:b/>
              </w:rPr>
              <w:lastRenderedPageBreak/>
              <w:t>закона</w:t>
            </w:r>
            <w:r w:rsidRPr="00263D21">
              <w:t xml:space="preserve"> </w:t>
            </w:r>
            <w:r w:rsidRPr="00A82C05">
              <w:rPr>
                <w:b/>
              </w:rPr>
              <w:t>№ 566208-8</w:t>
            </w:r>
            <w:r w:rsidRPr="00263D21">
              <w:t xml:space="preserve">                                         «О внесении изменений в Бюджетный кодекс Российской Федерации».</w:t>
            </w:r>
          </w:p>
          <w:p w:rsidR="00497821" w:rsidRDefault="00497821" w:rsidP="00622344">
            <w:pPr>
              <w:ind w:firstLine="317"/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55" w:rsidRDefault="00486355" w:rsidP="00FB2581">
      <w:r>
        <w:separator/>
      </w:r>
    </w:p>
  </w:endnote>
  <w:endnote w:type="continuationSeparator" w:id="0">
    <w:p w:rsidR="00486355" w:rsidRDefault="00486355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55" w:rsidRDefault="00486355" w:rsidP="00FB2581">
      <w:r>
        <w:separator/>
      </w:r>
    </w:p>
  </w:footnote>
  <w:footnote w:type="continuationSeparator" w:id="0">
    <w:p w:rsidR="00486355" w:rsidRDefault="00486355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DE3" w:rsidRDefault="00023D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023DE3" w:rsidRDefault="00023DE3">
        <w:pPr>
          <w:pStyle w:val="a5"/>
          <w:jc w:val="center"/>
        </w:pPr>
        <w:fldSimple w:instr=" PAGE   \* MERGEFORMAT ">
          <w:r w:rsidR="00A82C05">
            <w:rPr>
              <w:noProof/>
            </w:rPr>
            <w:t>1</w:t>
          </w:r>
        </w:fldSimple>
      </w:p>
    </w:sdtContent>
  </w:sdt>
  <w:p w:rsidR="00023DE3" w:rsidRDefault="00023DE3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3"/>
  </w:num>
  <w:num w:numId="12">
    <w:abstractNumId w:val="10"/>
  </w:num>
  <w:num w:numId="13">
    <w:abstractNumId w:val="24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2"/>
  </w:num>
  <w:num w:numId="20">
    <w:abstractNumId w:val="2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22E7E"/>
    <w:rsid w:val="00023339"/>
    <w:rsid w:val="00023DE3"/>
    <w:rsid w:val="0002457A"/>
    <w:rsid w:val="00024B62"/>
    <w:rsid w:val="00030914"/>
    <w:rsid w:val="00031E4C"/>
    <w:rsid w:val="00051AC4"/>
    <w:rsid w:val="0005446F"/>
    <w:rsid w:val="00056C02"/>
    <w:rsid w:val="00057E63"/>
    <w:rsid w:val="000608F4"/>
    <w:rsid w:val="00063456"/>
    <w:rsid w:val="00067FB3"/>
    <w:rsid w:val="0007156C"/>
    <w:rsid w:val="000737D3"/>
    <w:rsid w:val="00091986"/>
    <w:rsid w:val="00094101"/>
    <w:rsid w:val="000952B2"/>
    <w:rsid w:val="00097340"/>
    <w:rsid w:val="000A356A"/>
    <w:rsid w:val="000A6297"/>
    <w:rsid w:val="000A6B07"/>
    <w:rsid w:val="000A7DF3"/>
    <w:rsid w:val="000B0506"/>
    <w:rsid w:val="000B0BD6"/>
    <w:rsid w:val="000B12BC"/>
    <w:rsid w:val="000B5C76"/>
    <w:rsid w:val="000C09C5"/>
    <w:rsid w:val="000C169A"/>
    <w:rsid w:val="000E3E56"/>
    <w:rsid w:val="000E6BB9"/>
    <w:rsid w:val="000F1DB4"/>
    <w:rsid w:val="000F2CC1"/>
    <w:rsid w:val="000F432B"/>
    <w:rsid w:val="000F59BA"/>
    <w:rsid w:val="000F6C21"/>
    <w:rsid w:val="000F6FC6"/>
    <w:rsid w:val="0010287C"/>
    <w:rsid w:val="00102D9E"/>
    <w:rsid w:val="00104590"/>
    <w:rsid w:val="0011070C"/>
    <w:rsid w:val="001178B8"/>
    <w:rsid w:val="00120764"/>
    <w:rsid w:val="001222CD"/>
    <w:rsid w:val="00122E29"/>
    <w:rsid w:val="00125506"/>
    <w:rsid w:val="0012754F"/>
    <w:rsid w:val="00132573"/>
    <w:rsid w:val="00135CC8"/>
    <w:rsid w:val="001372D8"/>
    <w:rsid w:val="00142893"/>
    <w:rsid w:val="0014393E"/>
    <w:rsid w:val="001476F2"/>
    <w:rsid w:val="00151F5B"/>
    <w:rsid w:val="00161EE0"/>
    <w:rsid w:val="00163B32"/>
    <w:rsid w:val="00167C21"/>
    <w:rsid w:val="00167CC8"/>
    <w:rsid w:val="00174B2E"/>
    <w:rsid w:val="001751A2"/>
    <w:rsid w:val="00175F4B"/>
    <w:rsid w:val="00182593"/>
    <w:rsid w:val="001879ED"/>
    <w:rsid w:val="001A1F84"/>
    <w:rsid w:val="001A2250"/>
    <w:rsid w:val="001A437E"/>
    <w:rsid w:val="001A5246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1F63D5"/>
    <w:rsid w:val="00204F4B"/>
    <w:rsid w:val="00212A96"/>
    <w:rsid w:val="00215DB8"/>
    <w:rsid w:val="00222D56"/>
    <w:rsid w:val="0022432A"/>
    <w:rsid w:val="00225C50"/>
    <w:rsid w:val="0022746E"/>
    <w:rsid w:val="00227528"/>
    <w:rsid w:val="00231484"/>
    <w:rsid w:val="00235610"/>
    <w:rsid w:val="0023644D"/>
    <w:rsid w:val="00245CD2"/>
    <w:rsid w:val="00246CDD"/>
    <w:rsid w:val="002550CC"/>
    <w:rsid w:val="002564BC"/>
    <w:rsid w:val="00262D33"/>
    <w:rsid w:val="00263D21"/>
    <w:rsid w:val="00264006"/>
    <w:rsid w:val="0026497F"/>
    <w:rsid w:val="00264A90"/>
    <w:rsid w:val="00266574"/>
    <w:rsid w:val="002667ED"/>
    <w:rsid w:val="00266809"/>
    <w:rsid w:val="00266A94"/>
    <w:rsid w:val="00274AF3"/>
    <w:rsid w:val="002765F3"/>
    <w:rsid w:val="002774D1"/>
    <w:rsid w:val="00287926"/>
    <w:rsid w:val="002915F9"/>
    <w:rsid w:val="002935AF"/>
    <w:rsid w:val="002A0808"/>
    <w:rsid w:val="002A2783"/>
    <w:rsid w:val="002A5633"/>
    <w:rsid w:val="002A6706"/>
    <w:rsid w:val="002B2798"/>
    <w:rsid w:val="002C3A6E"/>
    <w:rsid w:val="002D5A36"/>
    <w:rsid w:val="002E3A9A"/>
    <w:rsid w:val="002F1B7B"/>
    <w:rsid w:val="002F3077"/>
    <w:rsid w:val="002F3764"/>
    <w:rsid w:val="002F6BCA"/>
    <w:rsid w:val="002F77D0"/>
    <w:rsid w:val="002F7926"/>
    <w:rsid w:val="00300039"/>
    <w:rsid w:val="00300A99"/>
    <w:rsid w:val="00304A73"/>
    <w:rsid w:val="00312CA2"/>
    <w:rsid w:val="00314CE5"/>
    <w:rsid w:val="00320E02"/>
    <w:rsid w:val="0032275C"/>
    <w:rsid w:val="003266BF"/>
    <w:rsid w:val="003307E9"/>
    <w:rsid w:val="003353F6"/>
    <w:rsid w:val="003516A3"/>
    <w:rsid w:val="0035199A"/>
    <w:rsid w:val="00352212"/>
    <w:rsid w:val="00352AAD"/>
    <w:rsid w:val="003542B2"/>
    <w:rsid w:val="0035704B"/>
    <w:rsid w:val="0035784B"/>
    <w:rsid w:val="00361032"/>
    <w:rsid w:val="003610B8"/>
    <w:rsid w:val="0036446C"/>
    <w:rsid w:val="00365038"/>
    <w:rsid w:val="003665C6"/>
    <w:rsid w:val="00370B15"/>
    <w:rsid w:val="00377D48"/>
    <w:rsid w:val="00381F01"/>
    <w:rsid w:val="0038209E"/>
    <w:rsid w:val="00383CF9"/>
    <w:rsid w:val="00393BF7"/>
    <w:rsid w:val="00394915"/>
    <w:rsid w:val="003966C2"/>
    <w:rsid w:val="003A12C1"/>
    <w:rsid w:val="003A7F38"/>
    <w:rsid w:val="003B1C87"/>
    <w:rsid w:val="003B3519"/>
    <w:rsid w:val="003B76B9"/>
    <w:rsid w:val="003B7E79"/>
    <w:rsid w:val="003C0AB3"/>
    <w:rsid w:val="003C4310"/>
    <w:rsid w:val="003C7748"/>
    <w:rsid w:val="003D6A22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0CC"/>
    <w:rsid w:val="00413F5F"/>
    <w:rsid w:val="00413FD7"/>
    <w:rsid w:val="00416241"/>
    <w:rsid w:val="00416A54"/>
    <w:rsid w:val="00420A5A"/>
    <w:rsid w:val="00420C01"/>
    <w:rsid w:val="004245F5"/>
    <w:rsid w:val="00424D80"/>
    <w:rsid w:val="00424DA8"/>
    <w:rsid w:val="00430512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AE4"/>
    <w:rsid w:val="00460C5B"/>
    <w:rsid w:val="00460F71"/>
    <w:rsid w:val="004669D0"/>
    <w:rsid w:val="00467D69"/>
    <w:rsid w:val="00485BF1"/>
    <w:rsid w:val="00486355"/>
    <w:rsid w:val="00487A89"/>
    <w:rsid w:val="004940BA"/>
    <w:rsid w:val="00497821"/>
    <w:rsid w:val="004A06F4"/>
    <w:rsid w:val="004A0B43"/>
    <w:rsid w:val="004A1424"/>
    <w:rsid w:val="004A43B3"/>
    <w:rsid w:val="004B00D6"/>
    <w:rsid w:val="004B62DD"/>
    <w:rsid w:val="004C08EE"/>
    <w:rsid w:val="004C4190"/>
    <w:rsid w:val="004C5D0E"/>
    <w:rsid w:val="004D1945"/>
    <w:rsid w:val="004D22F4"/>
    <w:rsid w:val="004D5515"/>
    <w:rsid w:val="004E0ACF"/>
    <w:rsid w:val="004E154A"/>
    <w:rsid w:val="004E2972"/>
    <w:rsid w:val="004E5AA3"/>
    <w:rsid w:val="00500425"/>
    <w:rsid w:val="0050065E"/>
    <w:rsid w:val="00501C86"/>
    <w:rsid w:val="00502D76"/>
    <w:rsid w:val="00505C9B"/>
    <w:rsid w:val="00513E37"/>
    <w:rsid w:val="005164D5"/>
    <w:rsid w:val="00516B5C"/>
    <w:rsid w:val="005252D0"/>
    <w:rsid w:val="00525E4B"/>
    <w:rsid w:val="0053240B"/>
    <w:rsid w:val="005342C0"/>
    <w:rsid w:val="0053563F"/>
    <w:rsid w:val="00535DBC"/>
    <w:rsid w:val="00543284"/>
    <w:rsid w:val="005436C0"/>
    <w:rsid w:val="00544AD0"/>
    <w:rsid w:val="00550CAA"/>
    <w:rsid w:val="00553845"/>
    <w:rsid w:val="00553D0A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3E4D"/>
    <w:rsid w:val="005845CE"/>
    <w:rsid w:val="00584879"/>
    <w:rsid w:val="005A22F9"/>
    <w:rsid w:val="005A4156"/>
    <w:rsid w:val="005A4226"/>
    <w:rsid w:val="005A4786"/>
    <w:rsid w:val="005A5E8C"/>
    <w:rsid w:val="005B1602"/>
    <w:rsid w:val="005B27EE"/>
    <w:rsid w:val="005C1284"/>
    <w:rsid w:val="005C6B92"/>
    <w:rsid w:val="005C7B08"/>
    <w:rsid w:val="005D2AEB"/>
    <w:rsid w:val="005D4FB6"/>
    <w:rsid w:val="005E1FC9"/>
    <w:rsid w:val="005E366A"/>
    <w:rsid w:val="005E64CE"/>
    <w:rsid w:val="005E6833"/>
    <w:rsid w:val="005F3147"/>
    <w:rsid w:val="005F3CF3"/>
    <w:rsid w:val="005F600E"/>
    <w:rsid w:val="005F6716"/>
    <w:rsid w:val="0060212C"/>
    <w:rsid w:val="00605FAF"/>
    <w:rsid w:val="006104F1"/>
    <w:rsid w:val="00610BA2"/>
    <w:rsid w:val="006178E8"/>
    <w:rsid w:val="0062037F"/>
    <w:rsid w:val="00621664"/>
    <w:rsid w:val="00622344"/>
    <w:rsid w:val="00622A6A"/>
    <w:rsid w:val="00622AA5"/>
    <w:rsid w:val="00625DA7"/>
    <w:rsid w:val="0062758A"/>
    <w:rsid w:val="0063705A"/>
    <w:rsid w:val="00637CCF"/>
    <w:rsid w:val="006407EA"/>
    <w:rsid w:val="00646877"/>
    <w:rsid w:val="00647DAF"/>
    <w:rsid w:val="00650BA7"/>
    <w:rsid w:val="00650ECB"/>
    <w:rsid w:val="006521AF"/>
    <w:rsid w:val="00652A76"/>
    <w:rsid w:val="00656591"/>
    <w:rsid w:val="00662BCB"/>
    <w:rsid w:val="00665427"/>
    <w:rsid w:val="00667478"/>
    <w:rsid w:val="00670197"/>
    <w:rsid w:val="006710FB"/>
    <w:rsid w:val="006743B5"/>
    <w:rsid w:val="00677C95"/>
    <w:rsid w:val="00692158"/>
    <w:rsid w:val="00696B12"/>
    <w:rsid w:val="006A1522"/>
    <w:rsid w:val="006A217E"/>
    <w:rsid w:val="006A322F"/>
    <w:rsid w:val="006A5AFF"/>
    <w:rsid w:val="006A6E18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0026"/>
    <w:rsid w:val="006D3DEC"/>
    <w:rsid w:val="006D62F5"/>
    <w:rsid w:val="006D7C99"/>
    <w:rsid w:val="006E7716"/>
    <w:rsid w:val="006F0696"/>
    <w:rsid w:val="006F0E6C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5065"/>
    <w:rsid w:val="0072027E"/>
    <w:rsid w:val="00721DA3"/>
    <w:rsid w:val="007233E0"/>
    <w:rsid w:val="007239E8"/>
    <w:rsid w:val="00724808"/>
    <w:rsid w:val="00736F81"/>
    <w:rsid w:val="00745134"/>
    <w:rsid w:val="0074669A"/>
    <w:rsid w:val="00755CB7"/>
    <w:rsid w:val="00757A5A"/>
    <w:rsid w:val="00765F99"/>
    <w:rsid w:val="00780676"/>
    <w:rsid w:val="00781E8D"/>
    <w:rsid w:val="0078302D"/>
    <w:rsid w:val="00783666"/>
    <w:rsid w:val="00784F5E"/>
    <w:rsid w:val="00790B42"/>
    <w:rsid w:val="00796D96"/>
    <w:rsid w:val="007A5528"/>
    <w:rsid w:val="007A6F5C"/>
    <w:rsid w:val="007A7518"/>
    <w:rsid w:val="007B03F1"/>
    <w:rsid w:val="007B1100"/>
    <w:rsid w:val="007B4344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1439E"/>
    <w:rsid w:val="0082037E"/>
    <w:rsid w:val="008208EA"/>
    <w:rsid w:val="00823797"/>
    <w:rsid w:val="00825F5A"/>
    <w:rsid w:val="00832A9F"/>
    <w:rsid w:val="008351AF"/>
    <w:rsid w:val="00840985"/>
    <w:rsid w:val="00842FC4"/>
    <w:rsid w:val="008457D4"/>
    <w:rsid w:val="0085119B"/>
    <w:rsid w:val="00854F55"/>
    <w:rsid w:val="00867B9B"/>
    <w:rsid w:val="00872DF4"/>
    <w:rsid w:val="00876523"/>
    <w:rsid w:val="00876E96"/>
    <w:rsid w:val="008815FB"/>
    <w:rsid w:val="00883404"/>
    <w:rsid w:val="00896043"/>
    <w:rsid w:val="008A03DA"/>
    <w:rsid w:val="008A22DC"/>
    <w:rsid w:val="008A7FA6"/>
    <w:rsid w:val="008B02A8"/>
    <w:rsid w:val="008B1218"/>
    <w:rsid w:val="008B32B4"/>
    <w:rsid w:val="008B69EA"/>
    <w:rsid w:val="008B7624"/>
    <w:rsid w:val="008B7BFC"/>
    <w:rsid w:val="008C32A8"/>
    <w:rsid w:val="008C43D6"/>
    <w:rsid w:val="008D30AC"/>
    <w:rsid w:val="008D4C76"/>
    <w:rsid w:val="008D4E2A"/>
    <w:rsid w:val="008E2975"/>
    <w:rsid w:val="008E52F9"/>
    <w:rsid w:val="008E7A3F"/>
    <w:rsid w:val="008F00EA"/>
    <w:rsid w:val="008F3099"/>
    <w:rsid w:val="008F5D29"/>
    <w:rsid w:val="009043FA"/>
    <w:rsid w:val="009055EC"/>
    <w:rsid w:val="00906206"/>
    <w:rsid w:val="00907277"/>
    <w:rsid w:val="00907D74"/>
    <w:rsid w:val="00912B83"/>
    <w:rsid w:val="00924A56"/>
    <w:rsid w:val="00924E27"/>
    <w:rsid w:val="00926692"/>
    <w:rsid w:val="00940165"/>
    <w:rsid w:val="009413F5"/>
    <w:rsid w:val="00946B7D"/>
    <w:rsid w:val="00946C92"/>
    <w:rsid w:val="0095590A"/>
    <w:rsid w:val="0095591D"/>
    <w:rsid w:val="009631C4"/>
    <w:rsid w:val="00965345"/>
    <w:rsid w:val="00972D25"/>
    <w:rsid w:val="00973BB1"/>
    <w:rsid w:val="0097634A"/>
    <w:rsid w:val="009826A9"/>
    <w:rsid w:val="00984D9A"/>
    <w:rsid w:val="00984DC5"/>
    <w:rsid w:val="00993591"/>
    <w:rsid w:val="00994F65"/>
    <w:rsid w:val="009A2946"/>
    <w:rsid w:val="009A2CB4"/>
    <w:rsid w:val="009A4063"/>
    <w:rsid w:val="009A43BA"/>
    <w:rsid w:val="009A4597"/>
    <w:rsid w:val="009B07A3"/>
    <w:rsid w:val="009B3783"/>
    <w:rsid w:val="009C7D5B"/>
    <w:rsid w:val="009D607C"/>
    <w:rsid w:val="009D75E7"/>
    <w:rsid w:val="009E3999"/>
    <w:rsid w:val="009E5C24"/>
    <w:rsid w:val="009F0DA9"/>
    <w:rsid w:val="009F27E3"/>
    <w:rsid w:val="00A01821"/>
    <w:rsid w:val="00A054BB"/>
    <w:rsid w:val="00A10DB1"/>
    <w:rsid w:val="00A13172"/>
    <w:rsid w:val="00A136C2"/>
    <w:rsid w:val="00A1433C"/>
    <w:rsid w:val="00A166E5"/>
    <w:rsid w:val="00A16B17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44F14"/>
    <w:rsid w:val="00A52E50"/>
    <w:rsid w:val="00A549FB"/>
    <w:rsid w:val="00A55A78"/>
    <w:rsid w:val="00A56C98"/>
    <w:rsid w:val="00A664A0"/>
    <w:rsid w:val="00A66AC0"/>
    <w:rsid w:val="00A74FA7"/>
    <w:rsid w:val="00A75DA2"/>
    <w:rsid w:val="00A8215A"/>
    <w:rsid w:val="00A82C05"/>
    <w:rsid w:val="00A85024"/>
    <w:rsid w:val="00A85D23"/>
    <w:rsid w:val="00A87D96"/>
    <w:rsid w:val="00A90DCC"/>
    <w:rsid w:val="00AA1816"/>
    <w:rsid w:val="00AB5EAD"/>
    <w:rsid w:val="00AB7070"/>
    <w:rsid w:val="00AC167E"/>
    <w:rsid w:val="00AC1E52"/>
    <w:rsid w:val="00AC37DC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13C13"/>
    <w:rsid w:val="00B1523E"/>
    <w:rsid w:val="00B25D0A"/>
    <w:rsid w:val="00B26B90"/>
    <w:rsid w:val="00B26BD5"/>
    <w:rsid w:val="00B276D8"/>
    <w:rsid w:val="00B3138D"/>
    <w:rsid w:val="00B31AB8"/>
    <w:rsid w:val="00B32428"/>
    <w:rsid w:val="00B47D2D"/>
    <w:rsid w:val="00B618C3"/>
    <w:rsid w:val="00B646B0"/>
    <w:rsid w:val="00B64FDB"/>
    <w:rsid w:val="00B65805"/>
    <w:rsid w:val="00B714B5"/>
    <w:rsid w:val="00B75C1C"/>
    <w:rsid w:val="00B76F3F"/>
    <w:rsid w:val="00B83923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30B6"/>
    <w:rsid w:val="00BD4D5F"/>
    <w:rsid w:val="00BD594A"/>
    <w:rsid w:val="00BD70B0"/>
    <w:rsid w:val="00BE51CB"/>
    <w:rsid w:val="00BE5D3D"/>
    <w:rsid w:val="00BE6074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5373"/>
    <w:rsid w:val="00C26CE5"/>
    <w:rsid w:val="00C26E6E"/>
    <w:rsid w:val="00C33019"/>
    <w:rsid w:val="00C34504"/>
    <w:rsid w:val="00C413CB"/>
    <w:rsid w:val="00C44A7C"/>
    <w:rsid w:val="00C528E8"/>
    <w:rsid w:val="00C57CFB"/>
    <w:rsid w:val="00C71ADE"/>
    <w:rsid w:val="00C80472"/>
    <w:rsid w:val="00C82DF9"/>
    <w:rsid w:val="00C840F4"/>
    <w:rsid w:val="00C861D2"/>
    <w:rsid w:val="00C9409E"/>
    <w:rsid w:val="00C944EA"/>
    <w:rsid w:val="00CA0249"/>
    <w:rsid w:val="00CA2F03"/>
    <w:rsid w:val="00CA5B6A"/>
    <w:rsid w:val="00CB08B0"/>
    <w:rsid w:val="00CB1E9A"/>
    <w:rsid w:val="00CB295F"/>
    <w:rsid w:val="00CB40EB"/>
    <w:rsid w:val="00CB65AD"/>
    <w:rsid w:val="00CC0D0F"/>
    <w:rsid w:val="00CC36D4"/>
    <w:rsid w:val="00CC38EB"/>
    <w:rsid w:val="00CC3EA5"/>
    <w:rsid w:val="00CC5B2F"/>
    <w:rsid w:val="00CC66FB"/>
    <w:rsid w:val="00CC6904"/>
    <w:rsid w:val="00CD2C94"/>
    <w:rsid w:val="00CD636B"/>
    <w:rsid w:val="00CD6D36"/>
    <w:rsid w:val="00CE01BE"/>
    <w:rsid w:val="00CE5126"/>
    <w:rsid w:val="00CE7F1B"/>
    <w:rsid w:val="00CF2723"/>
    <w:rsid w:val="00CF6007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6B77"/>
    <w:rsid w:val="00D07EF5"/>
    <w:rsid w:val="00D1124E"/>
    <w:rsid w:val="00D147DF"/>
    <w:rsid w:val="00D17832"/>
    <w:rsid w:val="00D21755"/>
    <w:rsid w:val="00D223A4"/>
    <w:rsid w:val="00D3372D"/>
    <w:rsid w:val="00D36440"/>
    <w:rsid w:val="00D45157"/>
    <w:rsid w:val="00D46430"/>
    <w:rsid w:val="00D50FB3"/>
    <w:rsid w:val="00D558E4"/>
    <w:rsid w:val="00D62957"/>
    <w:rsid w:val="00D639D1"/>
    <w:rsid w:val="00D6453F"/>
    <w:rsid w:val="00D729F1"/>
    <w:rsid w:val="00D75EEB"/>
    <w:rsid w:val="00D772A3"/>
    <w:rsid w:val="00D831B4"/>
    <w:rsid w:val="00D94E7C"/>
    <w:rsid w:val="00DA1313"/>
    <w:rsid w:val="00DA24D3"/>
    <w:rsid w:val="00DA3F89"/>
    <w:rsid w:val="00DA6243"/>
    <w:rsid w:val="00DA675A"/>
    <w:rsid w:val="00DB0B3C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743"/>
    <w:rsid w:val="00E0092B"/>
    <w:rsid w:val="00E03806"/>
    <w:rsid w:val="00E041A5"/>
    <w:rsid w:val="00E067F6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80656"/>
    <w:rsid w:val="00E81688"/>
    <w:rsid w:val="00E82D82"/>
    <w:rsid w:val="00E8648A"/>
    <w:rsid w:val="00E87FBD"/>
    <w:rsid w:val="00E92EDF"/>
    <w:rsid w:val="00E93DD7"/>
    <w:rsid w:val="00E951A2"/>
    <w:rsid w:val="00E967A9"/>
    <w:rsid w:val="00E97D3E"/>
    <w:rsid w:val="00EA0F3A"/>
    <w:rsid w:val="00EA422E"/>
    <w:rsid w:val="00EA472A"/>
    <w:rsid w:val="00EC3B85"/>
    <w:rsid w:val="00ED5445"/>
    <w:rsid w:val="00ED7ABB"/>
    <w:rsid w:val="00EE06B5"/>
    <w:rsid w:val="00EE1B3E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241BD"/>
    <w:rsid w:val="00F30FB7"/>
    <w:rsid w:val="00F33C31"/>
    <w:rsid w:val="00F33C93"/>
    <w:rsid w:val="00F36AD0"/>
    <w:rsid w:val="00F41768"/>
    <w:rsid w:val="00F4301B"/>
    <w:rsid w:val="00F45801"/>
    <w:rsid w:val="00F52361"/>
    <w:rsid w:val="00F52415"/>
    <w:rsid w:val="00F64D79"/>
    <w:rsid w:val="00F713E1"/>
    <w:rsid w:val="00F73D48"/>
    <w:rsid w:val="00F7400B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B041A"/>
    <w:rsid w:val="00FB2581"/>
    <w:rsid w:val="00FB329C"/>
    <w:rsid w:val="00FB6525"/>
    <w:rsid w:val="00FC14FB"/>
    <w:rsid w:val="00FC27CD"/>
    <w:rsid w:val="00FD1B8B"/>
    <w:rsid w:val="00FD2A3A"/>
    <w:rsid w:val="00FD62AB"/>
    <w:rsid w:val="00FD6C98"/>
    <w:rsid w:val="00FD7A6E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3F67-C76B-4F84-A3CD-105AFC99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24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130</cp:revision>
  <dcterms:created xsi:type="dcterms:W3CDTF">2021-02-09T08:58:00Z</dcterms:created>
  <dcterms:modified xsi:type="dcterms:W3CDTF">2024-04-22T12:19:00Z</dcterms:modified>
</cp:coreProperties>
</file>